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r>
        <w:rPr>
          <w:rFonts w:ascii="Times New Roman" w:hAnsi="Times New Roman"/>
          <w:b/>
          <w:sz w:val="44"/>
          <w:szCs w:val="44"/>
        </w:rPr>
        <w:t>ОТЧЕТ</w:t>
      </w:r>
    </w:p>
    <w:p w:rsidR="0027547E" w:rsidRDefault="0027547E" w:rsidP="0027547E">
      <w:pPr>
        <w:spacing w:after="0" w:line="240" w:lineRule="auto"/>
        <w:jc w:val="center"/>
        <w:rPr>
          <w:rFonts w:ascii="Times New Roman" w:hAnsi="Times New Roman"/>
          <w:b/>
          <w:sz w:val="44"/>
          <w:szCs w:val="44"/>
        </w:rPr>
      </w:pPr>
      <w:r>
        <w:rPr>
          <w:rFonts w:ascii="Times New Roman" w:hAnsi="Times New Roman"/>
          <w:b/>
          <w:sz w:val="44"/>
          <w:szCs w:val="44"/>
        </w:rPr>
        <w:t>ИСПОЛНИТЕЛЬНОГО ОРГАНА</w:t>
      </w:r>
    </w:p>
    <w:p w:rsidR="0027547E" w:rsidRDefault="0027547E" w:rsidP="0027547E">
      <w:pPr>
        <w:spacing w:after="0" w:line="240" w:lineRule="auto"/>
        <w:jc w:val="center"/>
        <w:rPr>
          <w:rFonts w:ascii="Times New Roman" w:hAnsi="Times New Roman"/>
          <w:b/>
          <w:sz w:val="44"/>
          <w:szCs w:val="44"/>
        </w:rPr>
      </w:pPr>
      <w:r>
        <w:rPr>
          <w:rFonts w:ascii="Times New Roman" w:hAnsi="Times New Roman"/>
          <w:b/>
          <w:sz w:val="44"/>
          <w:szCs w:val="44"/>
        </w:rPr>
        <w:t>САМОРЕГУЛИРУЕМОЙ ОРГАНИЗАЦИИ</w:t>
      </w:r>
    </w:p>
    <w:p w:rsidR="0027547E" w:rsidRDefault="0027547E" w:rsidP="0027547E">
      <w:pPr>
        <w:spacing w:after="0" w:line="240" w:lineRule="auto"/>
        <w:jc w:val="center"/>
        <w:rPr>
          <w:rFonts w:ascii="Times New Roman" w:hAnsi="Times New Roman"/>
          <w:b/>
          <w:sz w:val="44"/>
          <w:szCs w:val="44"/>
        </w:rPr>
      </w:pPr>
      <w:r>
        <w:rPr>
          <w:rFonts w:ascii="Times New Roman" w:hAnsi="Times New Roman"/>
          <w:b/>
          <w:sz w:val="44"/>
          <w:szCs w:val="44"/>
        </w:rPr>
        <w:t>НП «БалтЭнергоЭффект»</w:t>
      </w: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r>
        <w:rPr>
          <w:rFonts w:ascii="Times New Roman" w:hAnsi="Times New Roman"/>
          <w:b/>
          <w:sz w:val="44"/>
          <w:szCs w:val="44"/>
        </w:rPr>
        <w:t>за 201</w:t>
      </w:r>
      <w:r w:rsidR="00624DA0">
        <w:rPr>
          <w:rFonts w:ascii="Times New Roman" w:hAnsi="Times New Roman"/>
          <w:b/>
          <w:sz w:val="44"/>
          <w:szCs w:val="44"/>
        </w:rPr>
        <w:t>2</w:t>
      </w:r>
      <w:r>
        <w:rPr>
          <w:rFonts w:ascii="Times New Roman" w:hAnsi="Times New Roman"/>
          <w:b/>
          <w:sz w:val="44"/>
          <w:szCs w:val="44"/>
        </w:rPr>
        <w:t xml:space="preserve"> год</w:t>
      </w: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27547E" w:rsidP="0027547E">
      <w:pPr>
        <w:spacing w:after="0" w:line="240" w:lineRule="auto"/>
        <w:jc w:val="center"/>
        <w:rPr>
          <w:rFonts w:ascii="Times New Roman" w:hAnsi="Times New Roman"/>
          <w:b/>
          <w:sz w:val="44"/>
          <w:szCs w:val="44"/>
        </w:rPr>
      </w:pPr>
    </w:p>
    <w:p w:rsidR="0027547E" w:rsidRDefault="008D77DC" w:rsidP="0027547E">
      <w:pPr>
        <w:pageBreakBefore/>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Некоммерческое партнерство «Балтийское объединение специализированных подрядчиков в области энергетического обследования «БалтЭнергоЭффект»</w:t>
      </w:r>
    </w:p>
    <w:p w:rsidR="0027547E" w:rsidRDefault="0027547E" w:rsidP="0027547E">
      <w:pPr>
        <w:spacing w:after="0" w:line="240" w:lineRule="auto"/>
        <w:jc w:val="both"/>
        <w:rPr>
          <w:rFonts w:ascii="Times New Roman" w:hAnsi="Times New Roman"/>
          <w:b/>
          <w:sz w:val="24"/>
          <w:szCs w:val="24"/>
        </w:rPr>
      </w:pPr>
    </w:p>
    <w:p w:rsidR="0027547E" w:rsidRDefault="0027547E" w:rsidP="0027547E">
      <w:pPr>
        <w:spacing w:after="0" w:line="240" w:lineRule="auto"/>
        <w:ind w:firstLine="567"/>
        <w:jc w:val="both"/>
        <w:rPr>
          <w:rFonts w:ascii="Times New Roman" w:hAnsi="Times New Roman"/>
          <w:sz w:val="24"/>
          <w:szCs w:val="24"/>
        </w:rPr>
      </w:pPr>
      <w:r>
        <w:rPr>
          <w:rFonts w:ascii="Times New Roman" w:hAnsi="Times New Roman"/>
          <w:sz w:val="24"/>
          <w:szCs w:val="24"/>
        </w:rPr>
        <w:t>Некоммерческое партнерство «Балтийское объединение специализированных подрядчиков в области энергетического обследования «БалтЭнергоЭффект» (далее – НП «БалтЭнергоЭффект» или Партнерство) учреждено 25 марта 2010 г</w:t>
      </w:r>
      <w:r w:rsidR="0076427A">
        <w:rPr>
          <w:rFonts w:ascii="Times New Roman" w:hAnsi="Times New Roman"/>
          <w:sz w:val="24"/>
          <w:szCs w:val="24"/>
        </w:rPr>
        <w:t>ода</w:t>
      </w:r>
      <w:r>
        <w:rPr>
          <w:rFonts w:ascii="Times New Roman" w:hAnsi="Times New Roman"/>
          <w:sz w:val="24"/>
          <w:szCs w:val="24"/>
        </w:rPr>
        <w:t>.</w:t>
      </w:r>
    </w:p>
    <w:p w:rsidR="0027547E" w:rsidRDefault="0027547E" w:rsidP="0027547E">
      <w:pPr>
        <w:spacing w:after="0" w:line="240" w:lineRule="auto"/>
        <w:jc w:val="both"/>
        <w:rPr>
          <w:rFonts w:ascii="Times New Roman" w:hAnsi="Times New Roman"/>
          <w:sz w:val="24"/>
          <w:szCs w:val="24"/>
        </w:rPr>
      </w:pPr>
    </w:p>
    <w:p w:rsidR="0027547E" w:rsidRDefault="0027547E" w:rsidP="0027547E">
      <w:pPr>
        <w:spacing w:after="0" w:line="240" w:lineRule="auto"/>
        <w:ind w:firstLine="567"/>
        <w:jc w:val="both"/>
        <w:rPr>
          <w:rFonts w:ascii="Times New Roman" w:hAnsi="Times New Roman"/>
          <w:sz w:val="24"/>
          <w:szCs w:val="24"/>
        </w:rPr>
      </w:pPr>
      <w:r>
        <w:rPr>
          <w:rFonts w:ascii="Times New Roman" w:hAnsi="Times New Roman"/>
          <w:sz w:val="24"/>
          <w:szCs w:val="24"/>
        </w:rPr>
        <w:t>17 сентября 2010 г</w:t>
      </w:r>
      <w:r w:rsidR="0076427A">
        <w:rPr>
          <w:rFonts w:ascii="Times New Roman" w:hAnsi="Times New Roman"/>
          <w:sz w:val="24"/>
          <w:szCs w:val="24"/>
        </w:rPr>
        <w:t>ода</w:t>
      </w:r>
      <w:r>
        <w:rPr>
          <w:rFonts w:ascii="Times New Roman" w:hAnsi="Times New Roman"/>
          <w:sz w:val="24"/>
          <w:szCs w:val="24"/>
        </w:rPr>
        <w:t xml:space="preserve"> Партнерству присвоен статус саморегулируемой организации, основанной на членстве лиц, выполняющих энергетическое обследование (регистрационный номер в  государственном реестре – СРО-Э-022).</w:t>
      </w:r>
    </w:p>
    <w:p w:rsidR="0027547E" w:rsidRDefault="0027547E" w:rsidP="0027547E">
      <w:pPr>
        <w:spacing w:after="0" w:line="240" w:lineRule="auto"/>
        <w:jc w:val="both"/>
        <w:rPr>
          <w:rFonts w:ascii="Times New Roman" w:hAnsi="Times New Roman"/>
          <w:sz w:val="24"/>
          <w:szCs w:val="24"/>
        </w:rPr>
      </w:pPr>
    </w:p>
    <w:p w:rsidR="0027547E" w:rsidRDefault="0027547E" w:rsidP="0027547E">
      <w:pPr>
        <w:spacing w:after="0" w:line="240" w:lineRule="auto"/>
        <w:ind w:firstLine="567"/>
        <w:jc w:val="both"/>
        <w:rPr>
          <w:rFonts w:ascii="Times New Roman" w:hAnsi="Times New Roman"/>
          <w:sz w:val="24"/>
          <w:szCs w:val="24"/>
        </w:rPr>
      </w:pPr>
      <w:r w:rsidRPr="00470ED3">
        <w:rPr>
          <w:rFonts w:ascii="Times New Roman" w:hAnsi="Times New Roman"/>
          <w:sz w:val="24"/>
          <w:szCs w:val="24"/>
        </w:rPr>
        <w:t xml:space="preserve">Сегодня Партнерство объединяет </w:t>
      </w:r>
      <w:r w:rsidRPr="00F71430">
        <w:rPr>
          <w:rFonts w:ascii="Times New Roman" w:hAnsi="Times New Roman"/>
          <w:sz w:val="24"/>
          <w:szCs w:val="24"/>
        </w:rPr>
        <w:t>13</w:t>
      </w:r>
      <w:r w:rsidR="008C6E6D" w:rsidRPr="00F71430">
        <w:rPr>
          <w:rFonts w:ascii="Times New Roman" w:hAnsi="Times New Roman"/>
          <w:sz w:val="24"/>
          <w:szCs w:val="24"/>
        </w:rPr>
        <w:t>5</w:t>
      </w:r>
      <w:r w:rsidRPr="00F71430">
        <w:rPr>
          <w:rFonts w:ascii="Times New Roman" w:hAnsi="Times New Roman"/>
          <w:sz w:val="24"/>
          <w:szCs w:val="24"/>
        </w:rPr>
        <w:t xml:space="preserve"> компаний</w:t>
      </w:r>
      <w:r w:rsidRPr="00470ED3">
        <w:rPr>
          <w:rFonts w:ascii="Times New Roman" w:hAnsi="Times New Roman"/>
          <w:sz w:val="24"/>
          <w:szCs w:val="24"/>
        </w:rPr>
        <w:t>, среди которых не только энергоаудиторские организации Санкт-Петербурга, Ленинградской области, Северо-Западного региона, но и организации Москвы, Приволжского, Сибирского, Южного, Северо-Кавказского регионов.</w:t>
      </w:r>
      <w:r>
        <w:rPr>
          <w:rFonts w:ascii="Times New Roman" w:hAnsi="Times New Roman"/>
          <w:sz w:val="24"/>
          <w:szCs w:val="24"/>
        </w:rPr>
        <w:t xml:space="preserve"> </w:t>
      </w:r>
    </w:p>
    <w:p w:rsidR="00E478BF" w:rsidRDefault="00E478BF" w:rsidP="0027547E">
      <w:pPr>
        <w:spacing w:after="0" w:line="240" w:lineRule="auto"/>
        <w:ind w:firstLine="567"/>
        <w:jc w:val="both"/>
        <w:rPr>
          <w:rFonts w:ascii="Times New Roman" w:hAnsi="Times New Roman"/>
          <w:sz w:val="24"/>
          <w:szCs w:val="24"/>
        </w:rPr>
      </w:pPr>
    </w:p>
    <w:p w:rsidR="0027547E" w:rsidRPr="00F71430" w:rsidRDefault="0027547E" w:rsidP="0027547E">
      <w:pPr>
        <w:spacing w:after="0" w:line="240" w:lineRule="auto"/>
        <w:ind w:firstLine="567"/>
        <w:jc w:val="both"/>
        <w:rPr>
          <w:rStyle w:val="a6"/>
          <w:rFonts w:ascii="Times New Roman" w:hAnsi="Times New Roman"/>
          <w:b w:val="0"/>
          <w:sz w:val="24"/>
          <w:szCs w:val="24"/>
        </w:rPr>
      </w:pPr>
      <w:r w:rsidRPr="00F71430">
        <w:rPr>
          <w:rFonts w:ascii="Times New Roman" w:hAnsi="Times New Roman"/>
          <w:sz w:val="24"/>
          <w:szCs w:val="24"/>
        </w:rPr>
        <w:t xml:space="preserve">НП «БалтЭнергоЭффект» является </w:t>
      </w:r>
      <w:r w:rsidRPr="00F71430">
        <w:rPr>
          <w:rStyle w:val="a6"/>
          <w:rFonts w:ascii="Times New Roman" w:hAnsi="Times New Roman"/>
          <w:b w:val="0"/>
          <w:sz w:val="24"/>
          <w:szCs w:val="24"/>
        </w:rPr>
        <w:t>членом Национального объединения саморегулируемых организаций в области энергетического обследования, членом Ассоциации рационального использования энергоресурсов "Межотраслевая Ассоциация Энергоэффективность и Нормирование", а также членом Санкт-Петербургской торгово-промышленной палаты.</w:t>
      </w:r>
    </w:p>
    <w:p w:rsidR="00D16B9F" w:rsidRPr="00F71430" w:rsidRDefault="00D16B9F" w:rsidP="0027547E">
      <w:pPr>
        <w:spacing w:after="0" w:line="240" w:lineRule="auto"/>
        <w:ind w:firstLine="567"/>
        <w:jc w:val="both"/>
        <w:rPr>
          <w:rStyle w:val="a6"/>
          <w:rFonts w:ascii="Times New Roman" w:hAnsi="Times New Roman"/>
          <w:b w:val="0"/>
          <w:sz w:val="24"/>
          <w:szCs w:val="24"/>
        </w:rPr>
      </w:pPr>
      <w:r w:rsidRPr="00F71430">
        <w:rPr>
          <w:rStyle w:val="a6"/>
          <w:rFonts w:ascii="Times New Roman" w:hAnsi="Times New Roman"/>
          <w:b w:val="0"/>
          <w:sz w:val="24"/>
          <w:szCs w:val="24"/>
        </w:rPr>
        <w:t xml:space="preserve">Руководство </w:t>
      </w:r>
      <w:r w:rsidR="006F3888" w:rsidRPr="00F71430">
        <w:rPr>
          <w:rStyle w:val="a6"/>
          <w:rFonts w:ascii="Times New Roman" w:hAnsi="Times New Roman"/>
          <w:b w:val="0"/>
          <w:sz w:val="24"/>
          <w:szCs w:val="24"/>
        </w:rPr>
        <w:t xml:space="preserve">исполнительного органа </w:t>
      </w:r>
      <w:r w:rsidRPr="00F71430">
        <w:rPr>
          <w:rStyle w:val="a6"/>
          <w:rFonts w:ascii="Times New Roman" w:hAnsi="Times New Roman"/>
          <w:b w:val="0"/>
          <w:sz w:val="24"/>
          <w:szCs w:val="24"/>
        </w:rPr>
        <w:t>Партнерства входит в следующие структуры:</w:t>
      </w:r>
    </w:p>
    <w:p w:rsidR="008C6E6D" w:rsidRDefault="008C6E6D" w:rsidP="0027547E">
      <w:pPr>
        <w:spacing w:after="0" w:line="240" w:lineRule="auto"/>
        <w:ind w:firstLine="567"/>
        <w:jc w:val="both"/>
        <w:rPr>
          <w:rStyle w:val="a6"/>
          <w:rFonts w:ascii="Times New Roman" w:hAnsi="Times New Roman"/>
          <w:sz w:val="24"/>
          <w:szCs w:val="24"/>
        </w:rPr>
      </w:pPr>
    </w:p>
    <w:p w:rsidR="006F3888" w:rsidRDefault="00D16B9F" w:rsidP="006F3888">
      <w:pPr>
        <w:spacing w:after="120" w:line="240" w:lineRule="auto"/>
        <w:jc w:val="both"/>
        <w:rPr>
          <w:rFonts w:ascii="Times New Roman" w:eastAsia="Times New Roman" w:hAnsi="Times New Roman"/>
          <w:sz w:val="24"/>
          <w:szCs w:val="24"/>
          <w:lang w:eastAsia="ru-RU"/>
        </w:rPr>
      </w:pPr>
      <w:r>
        <w:rPr>
          <w:rStyle w:val="a6"/>
          <w:rFonts w:ascii="Times New Roman" w:hAnsi="Times New Roman"/>
          <w:sz w:val="24"/>
          <w:szCs w:val="24"/>
        </w:rPr>
        <w:t xml:space="preserve">- </w:t>
      </w:r>
      <w:r w:rsidR="006F3888">
        <w:rPr>
          <w:rFonts w:ascii="Times New Roman" w:eastAsia="Times New Roman" w:hAnsi="Times New Roman"/>
          <w:sz w:val="24"/>
          <w:szCs w:val="24"/>
          <w:lang w:eastAsia="ru-RU"/>
        </w:rPr>
        <w:t>директор Партнерства Быков Владимир Леонидович - член Совета Национального объединения саморегулируемых организаций в области энергетического обследования (НОЭ), председатель Комитета по предпринимательству и рынку недвижимости Санкт-Петербургской торгово-промышленной палаты;</w:t>
      </w:r>
    </w:p>
    <w:p w:rsidR="006F3888" w:rsidRDefault="006F3888" w:rsidP="006F388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советник директора Партнерства Журавлев Александр Александрович – заместитель председателя Комитета по нормативно-методической работе и унификации документов НОЭ, заместитель председателя Комитета по предпринимательству и рынку недвижимости Санкт-Петербургской торгово-промышленной палаты</w:t>
      </w:r>
      <w:r w:rsidR="008C6E6D">
        <w:rPr>
          <w:rFonts w:ascii="Times New Roman" w:eastAsia="Times New Roman" w:hAnsi="Times New Roman"/>
          <w:sz w:val="24"/>
          <w:szCs w:val="24"/>
          <w:lang w:eastAsia="ru-RU"/>
        </w:rPr>
        <w:t>, член Комитета по обеспечению энергоэффективности объектов капитального строительства при Координационном совете  по развитию строительной отрасли Северо-Западного федерального округа.</w:t>
      </w:r>
    </w:p>
    <w:p w:rsidR="0027547E" w:rsidRDefault="0027547E" w:rsidP="0027547E">
      <w:pPr>
        <w:spacing w:after="0" w:line="240" w:lineRule="auto"/>
        <w:ind w:firstLine="851"/>
        <w:jc w:val="both"/>
        <w:rPr>
          <w:rFonts w:ascii="Times New Roman" w:hAnsi="Times New Roman"/>
          <w:sz w:val="24"/>
          <w:szCs w:val="24"/>
        </w:rPr>
      </w:pPr>
    </w:p>
    <w:p w:rsidR="0027547E" w:rsidRDefault="0027547E" w:rsidP="0027547E">
      <w:pPr>
        <w:widowControl w:val="0"/>
        <w:spacing w:after="0" w:line="240" w:lineRule="auto"/>
        <w:jc w:val="both"/>
        <w:rPr>
          <w:rFonts w:ascii="Times New Roman" w:hAnsi="Times New Roman"/>
          <w:sz w:val="24"/>
          <w:szCs w:val="24"/>
        </w:rPr>
      </w:pPr>
      <w:r>
        <w:rPr>
          <w:rFonts w:ascii="Times New Roman" w:hAnsi="Times New Roman"/>
          <w:b/>
          <w:sz w:val="24"/>
          <w:szCs w:val="24"/>
        </w:rPr>
        <w:t>ЦЕЛИ ПАРТНЕРСТВА</w:t>
      </w:r>
    </w:p>
    <w:p w:rsidR="0027547E" w:rsidRDefault="0027547E" w:rsidP="0027547E">
      <w:pPr>
        <w:spacing w:after="0" w:line="240" w:lineRule="auto"/>
        <w:jc w:val="both"/>
        <w:rPr>
          <w:rFonts w:ascii="Times New Roman" w:hAnsi="Times New Roman"/>
          <w:b/>
          <w:sz w:val="24"/>
          <w:szCs w:val="24"/>
        </w:rPr>
      </w:pPr>
    </w:p>
    <w:p w:rsidR="008C6E6D" w:rsidRDefault="00647340" w:rsidP="008C6E6D">
      <w:pPr>
        <w:spacing w:after="0" w:line="240" w:lineRule="auto"/>
        <w:ind w:firstLine="567"/>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настоящее время </w:t>
      </w:r>
      <w:r w:rsidR="008C6E6D">
        <w:rPr>
          <w:rFonts w:ascii="Times New Roman" w:eastAsia="Times New Roman" w:hAnsi="Times New Roman"/>
          <w:bCs/>
          <w:sz w:val="24"/>
          <w:szCs w:val="24"/>
          <w:lang w:eastAsia="ru-RU"/>
        </w:rPr>
        <w:t>основной целью Партнерства является совершенствование деятельности Партнерства и его членов, повышение качества энергетического обследования и энергетических паспортов, а также обеспечение экспертизы и учета копий паспортов в Минэнерго России.</w:t>
      </w:r>
    </w:p>
    <w:p w:rsidR="008C6E6D" w:rsidRDefault="008C6E6D" w:rsidP="008C6E6D">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По-прежнему целями работы Партнерства являются </w:t>
      </w:r>
      <w:r>
        <w:rPr>
          <w:rFonts w:ascii="Times New Roman" w:hAnsi="Times New Roman"/>
          <w:sz w:val="24"/>
          <w:szCs w:val="24"/>
        </w:rPr>
        <w:t>защита интересов компаний, входящих в Партнерство и представление их интересов в органах государственной власти, органах местного самоуправления, методическое обеспечение, а также активная информационная политика, содействие компаниям-членам в решении текущих проблем.</w:t>
      </w:r>
    </w:p>
    <w:p w:rsidR="008C6E6D" w:rsidRDefault="008C6E6D" w:rsidP="0027547E">
      <w:pPr>
        <w:spacing w:after="0" w:line="240" w:lineRule="auto"/>
        <w:ind w:firstLine="567"/>
        <w:jc w:val="both"/>
        <w:outlineLvl w:val="1"/>
        <w:rPr>
          <w:rFonts w:ascii="Times New Roman" w:eastAsia="Times New Roman" w:hAnsi="Times New Roman"/>
          <w:bCs/>
          <w:sz w:val="24"/>
          <w:szCs w:val="24"/>
          <w:lang w:eastAsia="ru-RU"/>
        </w:rPr>
      </w:pPr>
    </w:p>
    <w:p w:rsidR="0027547E" w:rsidRDefault="0027547E" w:rsidP="0027547E">
      <w:pPr>
        <w:spacing w:after="0" w:line="240" w:lineRule="auto"/>
        <w:rPr>
          <w:rFonts w:ascii="Times New Roman" w:eastAsia="Times New Roman" w:hAnsi="Times New Roman"/>
          <w:sz w:val="24"/>
          <w:szCs w:val="24"/>
          <w:lang w:eastAsia="ru-RU"/>
        </w:rPr>
      </w:pPr>
    </w:p>
    <w:p w:rsidR="00F71430" w:rsidRDefault="00F71430" w:rsidP="0027547E">
      <w:pPr>
        <w:spacing w:after="0" w:line="240" w:lineRule="auto"/>
        <w:outlineLvl w:val="1"/>
        <w:rPr>
          <w:rFonts w:ascii="Times New Roman" w:eastAsia="Times New Roman" w:hAnsi="Times New Roman"/>
          <w:b/>
          <w:bCs/>
          <w:sz w:val="24"/>
          <w:szCs w:val="24"/>
          <w:lang w:eastAsia="ru-RU"/>
        </w:rPr>
      </w:pPr>
    </w:p>
    <w:p w:rsidR="00E2328B" w:rsidRDefault="00E2328B" w:rsidP="0027547E">
      <w:pPr>
        <w:spacing w:after="0" w:line="240" w:lineRule="auto"/>
        <w:outlineLvl w:val="1"/>
        <w:rPr>
          <w:rFonts w:ascii="Times New Roman" w:eastAsia="Times New Roman" w:hAnsi="Times New Roman"/>
          <w:b/>
          <w:bCs/>
          <w:sz w:val="24"/>
          <w:szCs w:val="24"/>
          <w:lang w:eastAsia="ru-RU"/>
        </w:rPr>
      </w:pPr>
    </w:p>
    <w:p w:rsidR="00E2328B" w:rsidRDefault="00E2328B" w:rsidP="0027547E">
      <w:pPr>
        <w:spacing w:after="0" w:line="240" w:lineRule="auto"/>
        <w:outlineLvl w:val="1"/>
        <w:rPr>
          <w:rFonts w:ascii="Times New Roman" w:eastAsia="Times New Roman" w:hAnsi="Times New Roman"/>
          <w:b/>
          <w:bCs/>
          <w:sz w:val="24"/>
          <w:szCs w:val="24"/>
          <w:lang w:eastAsia="ru-RU"/>
        </w:rPr>
      </w:pPr>
    </w:p>
    <w:p w:rsidR="00E2328B" w:rsidRDefault="00E2328B" w:rsidP="0027547E">
      <w:pPr>
        <w:spacing w:after="0" w:line="240" w:lineRule="auto"/>
        <w:outlineLvl w:val="1"/>
        <w:rPr>
          <w:rFonts w:ascii="Times New Roman" w:eastAsia="Times New Roman" w:hAnsi="Times New Roman"/>
          <w:b/>
          <w:bCs/>
          <w:sz w:val="24"/>
          <w:szCs w:val="24"/>
          <w:lang w:eastAsia="ru-RU"/>
        </w:rPr>
      </w:pPr>
    </w:p>
    <w:p w:rsidR="0027547E" w:rsidRPr="00CB389A" w:rsidRDefault="0027547E" w:rsidP="0027547E">
      <w:pPr>
        <w:spacing w:after="0" w:line="240" w:lineRule="auto"/>
        <w:outlineLvl w:val="1"/>
        <w:rPr>
          <w:rFonts w:ascii="Times New Roman" w:eastAsia="Times New Roman" w:hAnsi="Times New Roman"/>
          <w:b/>
          <w:bCs/>
          <w:sz w:val="24"/>
          <w:szCs w:val="24"/>
          <w:lang w:eastAsia="ru-RU"/>
        </w:rPr>
      </w:pPr>
      <w:r w:rsidRPr="00CB389A">
        <w:rPr>
          <w:rFonts w:ascii="Times New Roman" w:eastAsia="Times New Roman" w:hAnsi="Times New Roman"/>
          <w:b/>
          <w:bCs/>
          <w:sz w:val="24"/>
          <w:szCs w:val="24"/>
          <w:lang w:eastAsia="ru-RU"/>
        </w:rPr>
        <w:lastRenderedPageBreak/>
        <w:t>ЗАДАЧИ  ПАРТНЕРСТВА</w:t>
      </w:r>
    </w:p>
    <w:p w:rsidR="0027547E" w:rsidRPr="00CB389A" w:rsidRDefault="0027547E" w:rsidP="0027547E">
      <w:pPr>
        <w:spacing w:after="0" w:line="240" w:lineRule="auto"/>
        <w:outlineLvl w:val="1"/>
        <w:rPr>
          <w:rFonts w:ascii="Times New Roman" w:eastAsia="Times New Roman" w:hAnsi="Times New Roman"/>
          <w:b/>
          <w:bCs/>
          <w:sz w:val="24"/>
          <w:szCs w:val="24"/>
          <w:lang w:eastAsia="ru-RU"/>
        </w:rPr>
      </w:pP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Реализация политики саморегулирования в области энергетического обследования.</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Разработка и утверждение дополнительных требований к стандартам и правилам,   регулирующим деятельность</w:t>
      </w:r>
      <w:r w:rsidRPr="00CB389A">
        <w:rPr>
          <w:rFonts w:ascii="Times New Roman" w:eastAsia="Times New Roman" w:hAnsi="Times New Roman"/>
          <w:bCs/>
          <w:sz w:val="24"/>
          <w:szCs w:val="24"/>
          <w:lang w:eastAsia="ru-RU"/>
        </w:rPr>
        <w:t xml:space="preserve"> в области энергетического обследования, методических рекомендаций по проведению энергетического обследования объектов различного назначения, оформлению энергетического паспорта, определения стоимости энергоаудита.</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Совершенствование нормативно-правовой базы в области энергетического обследования.</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hAnsi="Times New Roman"/>
          <w:sz w:val="24"/>
          <w:szCs w:val="24"/>
        </w:rPr>
        <w:t xml:space="preserve">Участие в </w:t>
      </w:r>
      <w:r w:rsidRPr="00CB389A">
        <w:rPr>
          <w:rFonts w:ascii="Times New Roman" w:eastAsia="Times New Roman" w:hAnsi="Times New Roman"/>
          <w:sz w:val="24"/>
          <w:szCs w:val="24"/>
          <w:lang w:eastAsia="ru-RU"/>
        </w:rPr>
        <w:t xml:space="preserve">разработке нормативно-методических документов </w:t>
      </w:r>
      <w:r w:rsidRPr="00CB389A">
        <w:rPr>
          <w:rFonts w:ascii="Times New Roman" w:hAnsi="Times New Roman"/>
          <w:sz w:val="24"/>
          <w:szCs w:val="24"/>
        </w:rPr>
        <w:t>в составе Национального объединения СРО в области энергетического обследования</w:t>
      </w:r>
      <w:r w:rsidR="008C6E6D">
        <w:rPr>
          <w:rFonts w:ascii="Times New Roman" w:hAnsi="Times New Roman"/>
          <w:sz w:val="24"/>
          <w:szCs w:val="24"/>
        </w:rPr>
        <w:t xml:space="preserve"> (НОЭ)</w:t>
      </w:r>
      <w:r w:rsidRPr="00CB389A">
        <w:rPr>
          <w:rFonts w:ascii="Times New Roman" w:hAnsi="Times New Roman"/>
          <w:sz w:val="24"/>
          <w:szCs w:val="24"/>
        </w:rPr>
        <w:t>;</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Партнерству по целям.</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Обеспечение дополнительной имущественной ответственности членов Партнерства перед потребителями выполненных ими работ и иными лицами.</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 xml:space="preserve">Формирование и поддержание высокого профессионального уровня специалистов в области энергетического обследования, повышение их квалификации. </w:t>
      </w:r>
    </w:p>
    <w:p w:rsidR="0027547E" w:rsidRPr="00CB389A"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Защита прав субъектов деятельности в области энергетического обследования.</w:t>
      </w:r>
    </w:p>
    <w:p w:rsidR="0027547E" w:rsidRDefault="0027547E" w:rsidP="0027547E">
      <w:pPr>
        <w:numPr>
          <w:ilvl w:val="0"/>
          <w:numId w:val="1"/>
        </w:numPr>
        <w:spacing w:after="120" w:line="240" w:lineRule="auto"/>
        <w:jc w:val="both"/>
        <w:rPr>
          <w:rFonts w:ascii="Times New Roman" w:eastAsia="Times New Roman" w:hAnsi="Times New Roman"/>
          <w:sz w:val="24"/>
          <w:szCs w:val="24"/>
          <w:lang w:eastAsia="ru-RU"/>
        </w:rPr>
      </w:pPr>
      <w:r w:rsidRPr="00CB389A">
        <w:rPr>
          <w:rFonts w:ascii="Times New Roman" w:eastAsia="Times New Roman" w:hAnsi="Times New Roman"/>
          <w:sz w:val="24"/>
          <w:szCs w:val="24"/>
          <w:lang w:eastAsia="ru-RU"/>
        </w:rPr>
        <w:t>Обеспечение информационной открытости деятельности Партнерства и его членов.</w:t>
      </w:r>
    </w:p>
    <w:p w:rsidR="00BD3A39" w:rsidRPr="00F71430" w:rsidRDefault="00BD3A39" w:rsidP="00BD3A39">
      <w:pPr>
        <w:numPr>
          <w:ilvl w:val="0"/>
          <w:numId w:val="1"/>
        </w:numPr>
        <w:spacing w:after="120" w:line="240" w:lineRule="auto"/>
        <w:jc w:val="both"/>
        <w:rPr>
          <w:rFonts w:ascii="Times New Roman" w:eastAsia="Times New Roman" w:hAnsi="Times New Roman"/>
          <w:sz w:val="24"/>
          <w:szCs w:val="24"/>
          <w:lang w:eastAsia="ru-RU"/>
        </w:rPr>
      </w:pPr>
      <w:r w:rsidRPr="00F71430">
        <w:rPr>
          <w:rFonts w:ascii="Times New Roman" w:eastAsia="Times New Roman" w:hAnsi="Times New Roman"/>
          <w:sz w:val="24"/>
          <w:szCs w:val="24"/>
          <w:lang w:eastAsia="ru-RU"/>
        </w:rPr>
        <w:t>Организация и проведение конференций по энерго-и ресурсосбережению, повышению энергетической эффективности с руководителями органов государственной власти, местного самоуправления, бюджетных организаций.</w:t>
      </w:r>
    </w:p>
    <w:p w:rsidR="00FD6DFD" w:rsidRDefault="00FD6DFD" w:rsidP="00FD6DFD">
      <w:pPr>
        <w:spacing w:after="120" w:line="240" w:lineRule="auto"/>
        <w:jc w:val="both"/>
        <w:rPr>
          <w:rFonts w:ascii="Times New Roman" w:eastAsia="Times New Roman" w:hAnsi="Times New Roman"/>
          <w:sz w:val="24"/>
          <w:szCs w:val="24"/>
          <w:lang w:eastAsia="ru-RU"/>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E2328B" w:rsidRDefault="00E2328B" w:rsidP="00F71430">
      <w:pPr>
        <w:spacing w:line="240" w:lineRule="auto"/>
        <w:jc w:val="both"/>
        <w:rPr>
          <w:rFonts w:ascii="Times New Roman" w:hAnsi="Times New Roman"/>
          <w:b/>
          <w:sz w:val="24"/>
          <w:szCs w:val="24"/>
        </w:rPr>
      </w:pPr>
    </w:p>
    <w:p w:rsidR="00F71430" w:rsidRDefault="00F71430" w:rsidP="00F71430">
      <w:pPr>
        <w:spacing w:line="240" w:lineRule="auto"/>
        <w:jc w:val="both"/>
        <w:rPr>
          <w:rFonts w:ascii="Times New Roman" w:hAnsi="Times New Roman"/>
          <w:b/>
          <w:sz w:val="24"/>
          <w:szCs w:val="24"/>
        </w:rPr>
      </w:pPr>
    </w:p>
    <w:p w:rsidR="00F71430" w:rsidRDefault="00CD2FB3" w:rsidP="00F71430">
      <w:pPr>
        <w:spacing w:line="240" w:lineRule="auto"/>
        <w:jc w:val="both"/>
        <w:rPr>
          <w:rFonts w:ascii="Times New Roman" w:hAnsi="Times New Roman"/>
          <w:b/>
          <w:sz w:val="24"/>
          <w:szCs w:val="24"/>
        </w:rPr>
      </w:pPr>
      <w:r>
        <w:rPr>
          <w:rFonts w:ascii="Times New Roman" w:hAnsi="Times New Roman"/>
          <w:b/>
          <w:sz w:val="24"/>
          <w:szCs w:val="24"/>
        </w:rPr>
        <w:t>СТРУКТУРА ПАРТНЕРСТВА</w:t>
      </w:r>
    </w:p>
    <w:p w:rsidR="00CD2FB3" w:rsidRDefault="00CD2FB3" w:rsidP="00F71430">
      <w:pPr>
        <w:spacing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noProof/>
          <w:sz w:val="24"/>
          <w:szCs w:val="24"/>
          <w:lang w:eastAsia="ru-RU"/>
        </w:rPr>
        <w:drawing>
          <wp:inline distT="0" distB="0" distL="0" distR="0" wp14:anchorId="239CFDA7" wp14:editId="58BBB653">
            <wp:extent cx="5940425" cy="4007485"/>
            <wp:effectExtent l="19050" t="0" r="3175" b="0"/>
            <wp:docPr id="13" name="Рисунок 2"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9" cstate="print"/>
                    <a:stretch>
                      <a:fillRect/>
                    </a:stretch>
                  </pic:blipFill>
                  <pic:spPr>
                    <a:xfrm>
                      <a:off x="0" y="0"/>
                      <a:ext cx="5940425" cy="4007485"/>
                    </a:xfrm>
                    <a:prstGeom prst="rect">
                      <a:avLst/>
                    </a:prstGeom>
                  </pic:spPr>
                </pic:pic>
              </a:graphicData>
            </a:graphic>
          </wp:inline>
        </w:drawing>
      </w:r>
    </w:p>
    <w:p w:rsidR="00CD2FB3" w:rsidRDefault="00CD2FB3" w:rsidP="00CD2FB3">
      <w:pPr>
        <w:spacing w:after="0" w:line="240" w:lineRule="auto"/>
        <w:jc w:val="both"/>
        <w:rPr>
          <w:rFonts w:ascii="Times New Roman" w:hAnsi="Times New Roman"/>
          <w:b/>
          <w:sz w:val="24"/>
          <w:szCs w:val="24"/>
        </w:rPr>
      </w:pPr>
    </w:p>
    <w:p w:rsidR="00E2328B" w:rsidRDefault="00E2328B" w:rsidP="0027547E">
      <w:pPr>
        <w:spacing w:after="0" w:line="240" w:lineRule="auto"/>
        <w:jc w:val="both"/>
        <w:rPr>
          <w:rFonts w:ascii="Times New Roman" w:hAnsi="Times New Roman"/>
          <w:b/>
          <w:sz w:val="24"/>
          <w:szCs w:val="24"/>
        </w:rPr>
      </w:pPr>
    </w:p>
    <w:p w:rsidR="0027547E" w:rsidRDefault="00F71430" w:rsidP="0027547E">
      <w:pPr>
        <w:spacing w:after="0" w:line="240" w:lineRule="auto"/>
        <w:jc w:val="both"/>
        <w:rPr>
          <w:rFonts w:ascii="Times New Roman" w:hAnsi="Times New Roman"/>
          <w:b/>
          <w:sz w:val="24"/>
          <w:szCs w:val="24"/>
        </w:rPr>
      </w:pPr>
      <w:r>
        <w:rPr>
          <w:rFonts w:ascii="Times New Roman" w:hAnsi="Times New Roman"/>
          <w:b/>
          <w:sz w:val="24"/>
          <w:szCs w:val="24"/>
        </w:rPr>
        <w:t>ИТО</w:t>
      </w:r>
      <w:r w:rsidR="00BD3A39">
        <w:rPr>
          <w:rFonts w:ascii="Times New Roman" w:hAnsi="Times New Roman"/>
          <w:b/>
          <w:sz w:val="24"/>
          <w:szCs w:val="24"/>
        </w:rPr>
        <w:t>ГИ РАБОТЫ ИСПОЛНИТЕЛЬНОГО ОРГАНА В 201</w:t>
      </w:r>
      <w:r>
        <w:rPr>
          <w:rFonts w:ascii="Times New Roman" w:hAnsi="Times New Roman"/>
          <w:b/>
          <w:sz w:val="24"/>
          <w:szCs w:val="24"/>
        </w:rPr>
        <w:t>2</w:t>
      </w:r>
      <w:r w:rsidR="00BD3A39">
        <w:rPr>
          <w:rFonts w:ascii="Times New Roman" w:hAnsi="Times New Roman"/>
          <w:b/>
          <w:sz w:val="24"/>
          <w:szCs w:val="24"/>
        </w:rPr>
        <w:t xml:space="preserve"> ГОДУ </w:t>
      </w:r>
    </w:p>
    <w:p w:rsidR="0027547E" w:rsidRDefault="0027547E" w:rsidP="0027547E">
      <w:pPr>
        <w:spacing w:after="0" w:line="240" w:lineRule="auto"/>
        <w:jc w:val="both"/>
        <w:rPr>
          <w:rFonts w:ascii="Times New Roman" w:hAnsi="Times New Roman"/>
          <w:b/>
          <w:sz w:val="24"/>
          <w:szCs w:val="24"/>
        </w:rPr>
      </w:pPr>
    </w:p>
    <w:p w:rsidR="0027547E" w:rsidRDefault="0027547E" w:rsidP="0027547E">
      <w:pPr>
        <w:spacing w:after="0" w:line="240" w:lineRule="auto"/>
        <w:jc w:val="both"/>
        <w:rPr>
          <w:rFonts w:ascii="Times New Roman" w:hAnsi="Times New Roman"/>
          <w:b/>
          <w:sz w:val="24"/>
          <w:szCs w:val="24"/>
        </w:rPr>
      </w:pPr>
      <w:r>
        <w:rPr>
          <w:rFonts w:ascii="Times New Roman" w:hAnsi="Times New Roman"/>
          <w:b/>
          <w:sz w:val="24"/>
          <w:szCs w:val="24"/>
        </w:rPr>
        <w:t xml:space="preserve">Директор </w:t>
      </w:r>
    </w:p>
    <w:p w:rsidR="0027547E" w:rsidRDefault="0027547E" w:rsidP="0027547E">
      <w:pPr>
        <w:spacing w:after="0" w:line="240" w:lineRule="auto"/>
        <w:jc w:val="both"/>
        <w:rPr>
          <w:rFonts w:ascii="Times New Roman" w:hAnsi="Times New Roman"/>
          <w:sz w:val="24"/>
          <w:szCs w:val="24"/>
        </w:rPr>
      </w:pPr>
    </w:p>
    <w:p w:rsidR="0027547E" w:rsidRDefault="0027547E" w:rsidP="0027547E">
      <w:pPr>
        <w:spacing w:after="0" w:line="240" w:lineRule="auto"/>
        <w:ind w:firstLine="567"/>
        <w:jc w:val="both"/>
        <w:rPr>
          <w:rFonts w:ascii="Times New Roman" w:hAnsi="Times New Roman"/>
          <w:sz w:val="24"/>
          <w:szCs w:val="24"/>
        </w:rPr>
      </w:pPr>
      <w:r>
        <w:rPr>
          <w:rFonts w:ascii="Times New Roman" w:hAnsi="Times New Roman"/>
          <w:sz w:val="24"/>
          <w:szCs w:val="24"/>
        </w:rPr>
        <w:t xml:space="preserve">Единоличным исполнительным органом </w:t>
      </w:r>
      <w:r w:rsidRPr="00417B82">
        <w:rPr>
          <w:rFonts w:ascii="Times New Roman" w:hAnsi="Times New Roman"/>
          <w:b/>
          <w:sz w:val="24"/>
          <w:szCs w:val="24"/>
        </w:rPr>
        <w:t>П</w:t>
      </w:r>
      <w:r>
        <w:rPr>
          <w:rStyle w:val="a6"/>
          <w:rFonts w:ascii="Times New Roman" w:hAnsi="Times New Roman"/>
          <w:sz w:val="24"/>
          <w:szCs w:val="24"/>
        </w:rPr>
        <w:t xml:space="preserve">артнерства </w:t>
      </w:r>
      <w:r>
        <w:rPr>
          <w:rFonts w:ascii="Times New Roman" w:hAnsi="Times New Roman"/>
          <w:sz w:val="24"/>
          <w:szCs w:val="24"/>
        </w:rPr>
        <w:t>является Директор Партнерства. К компетенции Директора относятся все вопросы руководства текущей деятельностью Партнерства, за исключением вопросов, отнесенных к компетенции Общего собрания членов Партнерства, Совета Партнерства.</w:t>
      </w:r>
    </w:p>
    <w:p w:rsidR="0027547E" w:rsidRDefault="0027547E" w:rsidP="0027547E">
      <w:pPr>
        <w:spacing w:after="0" w:line="240" w:lineRule="auto"/>
        <w:jc w:val="both"/>
        <w:rPr>
          <w:rFonts w:ascii="Times New Roman" w:hAnsi="Times New Roman"/>
          <w:sz w:val="24"/>
          <w:szCs w:val="24"/>
        </w:rPr>
      </w:pPr>
    </w:p>
    <w:p w:rsidR="0027547E" w:rsidRDefault="0027547E" w:rsidP="0027547E">
      <w:pPr>
        <w:spacing w:after="0" w:line="240" w:lineRule="auto"/>
        <w:jc w:val="both"/>
        <w:rPr>
          <w:rFonts w:ascii="Times New Roman" w:hAnsi="Times New Roman"/>
          <w:b/>
          <w:sz w:val="24"/>
          <w:szCs w:val="24"/>
        </w:rPr>
      </w:pPr>
      <w:r>
        <w:rPr>
          <w:rFonts w:ascii="Times New Roman" w:hAnsi="Times New Roman"/>
          <w:b/>
          <w:sz w:val="24"/>
          <w:szCs w:val="24"/>
        </w:rPr>
        <w:t>БЫКОВ Владимир Леонидович</w:t>
      </w:r>
    </w:p>
    <w:p w:rsidR="00F44D89" w:rsidRDefault="00F44D89" w:rsidP="00F44D89">
      <w:pPr>
        <w:pStyle w:val="3"/>
        <w:spacing w:before="0" w:after="0" w:line="240" w:lineRule="auto"/>
        <w:jc w:val="both"/>
        <w:rPr>
          <w:rFonts w:ascii="Times New Roman" w:hAnsi="Times New Roman"/>
          <w:b w:val="0"/>
          <w:sz w:val="24"/>
          <w:szCs w:val="24"/>
        </w:rPr>
      </w:pPr>
      <w:r>
        <w:rPr>
          <w:rStyle w:val="a6"/>
          <w:sz w:val="24"/>
          <w:szCs w:val="24"/>
        </w:rPr>
        <w:t xml:space="preserve">Член Совета Национального объединения СРО в области энергетического обследования, председатель Комитета по предпринимательству в сфере строительства и рынку недвижимости Санкт-Петербургской торгово-промышленной палаты, </w:t>
      </w:r>
      <w:r>
        <w:rPr>
          <w:rFonts w:ascii="Times New Roman" w:hAnsi="Times New Roman"/>
          <w:b w:val="0"/>
          <w:color w:val="000000"/>
          <w:sz w:val="24"/>
          <w:szCs w:val="24"/>
        </w:rPr>
        <w:t xml:space="preserve">член попечительского Совета </w:t>
      </w:r>
      <w:r>
        <w:rPr>
          <w:rFonts w:ascii="Times New Roman" w:hAnsi="Times New Roman"/>
          <w:b w:val="0"/>
          <w:sz w:val="24"/>
          <w:szCs w:val="24"/>
        </w:rPr>
        <w:t>Санкт-Петербургского отделения Общероссийского общественного Фонда «Центр качества строительства», кандидат технических наук, Почетный строитель России.</w:t>
      </w:r>
    </w:p>
    <w:p w:rsidR="00F71430" w:rsidRDefault="00F71430" w:rsidP="00F71430">
      <w:pPr>
        <w:spacing w:after="120" w:line="240" w:lineRule="auto"/>
        <w:jc w:val="both"/>
        <w:rPr>
          <w:rFonts w:ascii="Times New Roman" w:eastAsia="Times New Roman" w:hAnsi="Times New Roman"/>
          <w:sz w:val="24"/>
          <w:szCs w:val="24"/>
          <w:lang w:eastAsia="ru-RU"/>
        </w:rPr>
      </w:pPr>
    </w:p>
    <w:p w:rsidR="00F71430" w:rsidRDefault="00F71430" w:rsidP="00F7143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советник директора Партнерства Журавлев Александр Александрович – заместитель председателя Комитета по нормативно-методической работе и унификации документов НОЭ, заместитель председателя Комитета по предпринимательству и рынку недвижимости Санкт-Петербургской торгово-промышленной палаты, член Комитета по </w:t>
      </w:r>
      <w:r>
        <w:rPr>
          <w:rFonts w:ascii="Times New Roman" w:eastAsia="Times New Roman" w:hAnsi="Times New Roman"/>
          <w:sz w:val="24"/>
          <w:szCs w:val="24"/>
          <w:lang w:eastAsia="ru-RU"/>
        </w:rPr>
        <w:lastRenderedPageBreak/>
        <w:t>обеспечению энергоэффективности объектов капитального строительства при Координационном совете  по развитию строительной отрасли Северо-Западного федерального округа.</w:t>
      </w:r>
    </w:p>
    <w:p w:rsidR="0027547E" w:rsidRDefault="0027547E" w:rsidP="0027547E">
      <w:pPr>
        <w:pStyle w:val="a4"/>
        <w:spacing w:before="0" w:beforeAutospacing="0" w:after="0" w:afterAutospacing="0"/>
        <w:ind w:firstLine="567"/>
        <w:jc w:val="both"/>
      </w:pPr>
      <w:r>
        <w:rPr>
          <w:rStyle w:val="a6"/>
          <w:rFonts w:eastAsia="Calibri"/>
        </w:rPr>
        <w:t>Директор</w:t>
      </w:r>
      <w:r>
        <w:t xml:space="preserve"> осуществляет руководство текущей деятельностью </w:t>
      </w:r>
      <w:r w:rsidRPr="001F0295">
        <w:rPr>
          <w:b/>
        </w:rPr>
        <w:t>П</w:t>
      </w:r>
      <w:r>
        <w:rPr>
          <w:rStyle w:val="a6"/>
          <w:rFonts w:eastAsia="Calibri"/>
        </w:rPr>
        <w:t>артнерства</w:t>
      </w:r>
      <w:r>
        <w:t xml:space="preserve">, организует выполнение решений Общего собрания членов Партнерства и Совета Партнерства. </w:t>
      </w:r>
    </w:p>
    <w:p w:rsidR="0027547E" w:rsidRDefault="0027547E" w:rsidP="0027547E">
      <w:pPr>
        <w:pStyle w:val="a4"/>
        <w:spacing w:before="0" w:beforeAutospacing="0" w:after="0" w:afterAutospacing="0"/>
        <w:rPr>
          <w:rStyle w:val="a6"/>
          <w:rFonts w:eastAsia="Calibri"/>
          <w:b w:val="0"/>
        </w:rPr>
      </w:pPr>
    </w:p>
    <w:p w:rsidR="0027547E" w:rsidRDefault="0027547E" w:rsidP="0027547E">
      <w:pPr>
        <w:pStyle w:val="a4"/>
        <w:spacing w:before="0" w:beforeAutospacing="0" w:after="0" w:afterAutospacing="0"/>
        <w:ind w:firstLine="567"/>
        <w:rPr>
          <w:rFonts w:eastAsia="Calibri"/>
        </w:rPr>
      </w:pPr>
      <w:r>
        <w:rPr>
          <w:rStyle w:val="a6"/>
          <w:rFonts w:eastAsia="Calibri"/>
        </w:rPr>
        <w:t>Директор Партнерства осуществляет следующие функции:</w:t>
      </w:r>
      <w:r>
        <w:t xml:space="preserve"> </w:t>
      </w:r>
    </w:p>
    <w:p w:rsidR="0027547E" w:rsidRDefault="0027547E" w:rsidP="0027547E">
      <w:pPr>
        <w:pStyle w:val="a4"/>
        <w:spacing w:before="0" w:beforeAutospacing="0" w:after="0" w:afterAutospacing="0"/>
        <w:ind w:firstLine="567"/>
      </w:pPr>
    </w:p>
    <w:p w:rsidR="0027547E" w:rsidRDefault="0027547E" w:rsidP="0027547E">
      <w:pPr>
        <w:pStyle w:val="a4"/>
        <w:numPr>
          <w:ilvl w:val="0"/>
          <w:numId w:val="2"/>
        </w:numPr>
        <w:spacing w:before="0" w:beforeAutospacing="0" w:after="0" w:afterAutospacing="0"/>
        <w:jc w:val="both"/>
      </w:pPr>
      <w:r>
        <w:t>руководит работой Партнерства в соответствии с его программами и планами;</w:t>
      </w:r>
    </w:p>
    <w:p w:rsidR="0027547E" w:rsidRDefault="0027547E" w:rsidP="0027547E">
      <w:pPr>
        <w:pStyle w:val="a4"/>
        <w:numPr>
          <w:ilvl w:val="0"/>
          <w:numId w:val="2"/>
        </w:numPr>
        <w:spacing w:before="0" w:beforeAutospacing="0" w:after="0" w:afterAutospacing="0"/>
        <w:jc w:val="both"/>
      </w:pPr>
      <w:r>
        <w:t>без доверенности действует от имени Партнерства, совершает сделки, иные юридические действия и акты, самостоятельно распоряжается имуществом Партнерства в пределах утвержденной сметы Партнерства;</w:t>
      </w:r>
    </w:p>
    <w:p w:rsidR="0027547E" w:rsidRDefault="0027547E" w:rsidP="0027547E">
      <w:pPr>
        <w:pStyle w:val="a4"/>
        <w:numPr>
          <w:ilvl w:val="0"/>
          <w:numId w:val="2"/>
        </w:numPr>
        <w:spacing w:before="0" w:beforeAutospacing="0" w:after="0" w:afterAutospacing="0"/>
        <w:jc w:val="both"/>
      </w:pPr>
      <w:r>
        <w:t>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27547E" w:rsidRDefault="0027547E" w:rsidP="0027547E">
      <w:pPr>
        <w:pStyle w:val="a4"/>
        <w:numPr>
          <w:ilvl w:val="0"/>
          <w:numId w:val="2"/>
        </w:numPr>
        <w:spacing w:before="0" w:beforeAutospacing="0" w:after="0" w:afterAutospacing="0"/>
        <w:jc w:val="both"/>
      </w:pPr>
      <w:r>
        <w:t>открывает расчетный и иные счета Партнерства в банках;</w:t>
      </w:r>
    </w:p>
    <w:p w:rsidR="0027547E" w:rsidRDefault="0027547E" w:rsidP="0027547E">
      <w:pPr>
        <w:pStyle w:val="a4"/>
        <w:numPr>
          <w:ilvl w:val="0"/>
          <w:numId w:val="2"/>
        </w:numPr>
        <w:spacing w:before="0" w:beforeAutospacing="0" w:after="0" w:afterAutospacing="0"/>
        <w:jc w:val="both"/>
      </w:pPr>
      <w:r>
        <w:t>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27547E" w:rsidRDefault="0027547E" w:rsidP="0027547E">
      <w:pPr>
        <w:pStyle w:val="a4"/>
        <w:numPr>
          <w:ilvl w:val="0"/>
          <w:numId w:val="2"/>
        </w:numPr>
        <w:spacing w:before="0" w:beforeAutospacing="0" w:after="0" w:afterAutospacing="0"/>
        <w:jc w:val="both"/>
      </w:pPr>
      <w:r>
        <w:t>по согласованию с Советом партнерства утверждает штатное расписание, утверждает Положения об оплате труда, должностные инструкции и другие положения, регламентирующие условия труда работников Партнерства;</w:t>
      </w:r>
    </w:p>
    <w:p w:rsidR="0027547E" w:rsidRDefault="0027547E" w:rsidP="0027547E">
      <w:pPr>
        <w:pStyle w:val="a4"/>
        <w:numPr>
          <w:ilvl w:val="0"/>
          <w:numId w:val="2"/>
        </w:numPr>
        <w:spacing w:before="0" w:beforeAutospacing="0" w:after="0" w:afterAutospacing="0"/>
        <w:jc w:val="both"/>
      </w:pPr>
      <w:r>
        <w:t>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27547E" w:rsidRDefault="0027547E" w:rsidP="0027547E">
      <w:pPr>
        <w:pStyle w:val="a4"/>
        <w:numPr>
          <w:ilvl w:val="0"/>
          <w:numId w:val="2"/>
        </w:numPr>
        <w:spacing w:before="0" w:beforeAutospacing="0" w:after="0" w:afterAutospacing="0"/>
        <w:jc w:val="both"/>
      </w:pPr>
      <w:r>
        <w:t>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w:t>
      </w:r>
    </w:p>
    <w:p w:rsidR="0027547E" w:rsidRDefault="0027547E" w:rsidP="0027547E">
      <w:pPr>
        <w:pStyle w:val="a4"/>
        <w:numPr>
          <w:ilvl w:val="0"/>
          <w:numId w:val="2"/>
        </w:numPr>
        <w:spacing w:before="0" w:beforeAutospacing="0" w:after="0" w:afterAutospacing="0"/>
        <w:jc w:val="both"/>
      </w:pPr>
      <w:r>
        <w:t>организует учет и отчетность Партнерства, несет ответственность за ее достоверность;</w:t>
      </w:r>
    </w:p>
    <w:p w:rsidR="0027547E" w:rsidRDefault="0027547E" w:rsidP="0027547E">
      <w:pPr>
        <w:pStyle w:val="a4"/>
        <w:numPr>
          <w:ilvl w:val="0"/>
          <w:numId w:val="2"/>
        </w:numPr>
        <w:spacing w:before="0" w:beforeAutospacing="0" w:after="0" w:afterAutospacing="0"/>
        <w:jc w:val="both"/>
      </w:pPr>
      <w:r>
        <w:t>представляет на утверждение Совета партнерства годовой отчет и баланс Партнерства;</w:t>
      </w:r>
    </w:p>
    <w:p w:rsidR="0027547E" w:rsidRDefault="0027547E" w:rsidP="0027547E">
      <w:pPr>
        <w:pStyle w:val="a4"/>
        <w:numPr>
          <w:ilvl w:val="0"/>
          <w:numId w:val="2"/>
        </w:numPr>
        <w:spacing w:before="0" w:beforeAutospacing="0" w:after="0" w:afterAutospacing="0"/>
        <w:jc w:val="both"/>
      </w:pPr>
      <w:r>
        <w:t>выдает доверенности от имени Партнерства;</w:t>
      </w:r>
    </w:p>
    <w:p w:rsidR="0027547E" w:rsidRDefault="0027547E" w:rsidP="0027547E">
      <w:pPr>
        <w:pStyle w:val="a4"/>
        <w:numPr>
          <w:ilvl w:val="0"/>
          <w:numId w:val="2"/>
        </w:numPr>
        <w:spacing w:before="0" w:beforeAutospacing="0" w:after="0" w:afterAutospacing="0"/>
        <w:jc w:val="both"/>
      </w:pPr>
      <w:r>
        <w:t>принимает решения о предъявлении от имени Партнерства претензий и исков к юридическим и физическим лицам и об удовлетворении претензий, предъявляемых к Партнерству;</w:t>
      </w:r>
    </w:p>
    <w:p w:rsidR="0027547E" w:rsidRDefault="0027547E" w:rsidP="0027547E">
      <w:pPr>
        <w:pStyle w:val="a4"/>
        <w:numPr>
          <w:ilvl w:val="0"/>
          <w:numId w:val="2"/>
        </w:numPr>
        <w:spacing w:before="0" w:beforeAutospacing="0" w:after="0" w:afterAutospacing="0"/>
        <w:jc w:val="both"/>
      </w:pPr>
      <w:r>
        <w:t>совместно с Советом партнерства обеспечивает подготовку и проведение Общих собраний членов Партнерства;</w:t>
      </w:r>
    </w:p>
    <w:p w:rsidR="0027547E" w:rsidRDefault="0027547E" w:rsidP="0027547E">
      <w:pPr>
        <w:pStyle w:val="a4"/>
        <w:numPr>
          <w:ilvl w:val="0"/>
          <w:numId w:val="2"/>
        </w:numPr>
        <w:spacing w:before="0" w:beforeAutospacing="0" w:after="0" w:afterAutospacing="0"/>
        <w:jc w:val="both"/>
      </w:pPr>
      <w:r>
        <w:t>организует техническое обеспечение работы Общего собрания членов Партнерства и Совета партнерства;</w:t>
      </w:r>
    </w:p>
    <w:p w:rsidR="0027547E" w:rsidRDefault="0027547E" w:rsidP="0027547E">
      <w:pPr>
        <w:pStyle w:val="a4"/>
        <w:numPr>
          <w:ilvl w:val="0"/>
          <w:numId w:val="2"/>
        </w:numPr>
        <w:spacing w:before="0" w:beforeAutospacing="0" w:after="0" w:afterAutospacing="0"/>
        <w:jc w:val="both"/>
      </w:pPr>
      <w:r>
        <w:t>осуществляет контроль за рациональным и экономным использованием материальных, трудовых и финансовых ресурсов;</w:t>
      </w:r>
    </w:p>
    <w:p w:rsidR="0027547E" w:rsidRDefault="0027547E" w:rsidP="0027547E">
      <w:pPr>
        <w:pStyle w:val="a4"/>
        <w:numPr>
          <w:ilvl w:val="0"/>
          <w:numId w:val="2"/>
        </w:numPr>
        <w:spacing w:before="0" w:beforeAutospacing="0" w:after="0" w:afterAutospacing="0"/>
        <w:jc w:val="both"/>
      </w:pPr>
      <w:r>
        <w:t>в пределах своей компетенции обеспечивает соблюдение законности в деятельности Партнерства;</w:t>
      </w:r>
    </w:p>
    <w:p w:rsidR="0027547E" w:rsidRDefault="0027547E" w:rsidP="0027547E">
      <w:pPr>
        <w:pStyle w:val="a4"/>
        <w:numPr>
          <w:ilvl w:val="0"/>
          <w:numId w:val="2"/>
        </w:numPr>
        <w:spacing w:before="0" w:beforeAutospacing="0" w:after="0" w:afterAutospacing="0"/>
        <w:jc w:val="both"/>
      </w:pPr>
      <w:r>
        <w:t>имеет право присутствовать на заседаниях Совета и специализированных органов Партнерства с правом совещательного голоса</w:t>
      </w:r>
    </w:p>
    <w:p w:rsidR="0027547E" w:rsidRDefault="0027547E" w:rsidP="0027547E">
      <w:pPr>
        <w:pStyle w:val="a4"/>
        <w:numPr>
          <w:ilvl w:val="0"/>
          <w:numId w:val="2"/>
        </w:numPr>
        <w:spacing w:before="0" w:beforeAutospacing="0" w:after="0" w:afterAutospacing="0"/>
        <w:jc w:val="both"/>
      </w:pPr>
      <w:r>
        <w:t>решает другие вопросы текущей деятельности Партнерства.</w:t>
      </w:r>
    </w:p>
    <w:p w:rsidR="00F71430" w:rsidRDefault="00F71430" w:rsidP="00F71430">
      <w:pPr>
        <w:pStyle w:val="a4"/>
        <w:spacing w:before="0" w:beforeAutospacing="0" w:after="0" w:afterAutospacing="0"/>
        <w:jc w:val="both"/>
      </w:pPr>
    </w:p>
    <w:p w:rsidR="000C287F" w:rsidRDefault="000C287F" w:rsidP="00F71430">
      <w:pPr>
        <w:spacing w:after="0" w:line="240" w:lineRule="auto"/>
        <w:jc w:val="both"/>
        <w:rPr>
          <w:rFonts w:ascii="Times New Roman" w:hAnsi="Times New Roman"/>
          <w:b/>
          <w:sz w:val="24"/>
          <w:szCs w:val="24"/>
        </w:rPr>
      </w:pPr>
    </w:p>
    <w:p w:rsidR="000C287F" w:rsidRDefault="000C287F" w:rsidP="00F71430">
      <w:pPr>
        <w:spacing w:after="0" w:line="240" w:lineRule="auto"/>
        <w:jc w:val="both"/>
        <w:rPr>
          <w:rFonts w:ascii="Times New Roman" w:hAnsi="Times New Roman"/>
          <w:b/>
          <w:sz w:val="24"/>
          <w:szCs w:val="24"/>
        </w:rPr>
      </w:pPr>
    </w:p>
    <w:p w:rsidR="00F71430" w:rsidRDefault="00F71430" w:rsidP="00F71430">
      <w:pPr>
        <w:spacing w:after="0" w:line="240" w:lineRule="auto"/>
        <w:jc w:val="both"/>
        <w:rPr>
          <w:rFonts w:ascii="Times New Roman" w:hAnsi="Times New Roman"/>
          <w:b/>
          <w:sz w:val="24"/>
          <w:szCs w:val="24"/>
        </w:rPr>
      </w:pPr>
      <w:r>
        <w:rPr>
          <w:rFonts w:ascii="Times New Roman" w:hAnsi="Times New Roman"/>
          <w:b/>
          <w:sz w:val="24"/>
          <w:szCs w:val="24"/>
        </w:rPr>
        <w:t>Общественная деятельность Партнерства</w:t>
      </w:r>
    </w:p>
    <w:p w:rsidR="00F71430" w:rsidRDefault="00F71430" w:rsidP="00F71430">
      <w:pPr>
        <w:spacing w:after="0" w:line="240" w:lineRule="auto"/>
        <w:jc w:val="both"/>
        <w:rPr>
          <w:rFonts w:ascii="Times New Roman" w:hAnsi="Times New Roman"/>
          <w:b/>
          <w:sz w:val="24"/>
          <w:szCs w:val="24"/>
        </w:rPr>
      </w:pPr>
    </w:p>
    <w:p w:rsidR="00F71430" w:rsidRDefault="00F71430" w:rsidP="00F71430">
      <w:pPr>
        <w:spacing w:after="100" w:line="240" w:lineRule="auto"/>
        <w:ind w:firstLine="567"/>
        <w:jc w:val="both"/>
        <w:rPr>
          <w:rFonts w:ascii="Times New Roman" w:hAnsi="Times New Roman"/>
          <w:sz w:val="24"/>
          <w:szCs w:val="24"/>
        </w:rPr>
      </w:pPr>
      <w:r>
        <w:rPr>
          <w:rFonts w:ascii="Times New Roman" w:hAnsi="Times New Roman"/>
          <w:sz w:val="24"/>
          <w:szCs w:val="24"/>
        </w:rPr>
        <w:t>НП «БалтЭнергоЭффект» принимает активное участие в общественной деятельности, взаимодействуя как с всероссийскими,  так и с региональными общественными организациями и объединениями. Партнерство сотрудничает со следующими объединениями:</w:t>
      </w:r>
    </w:p>
    <w:p w:rsidR="00F71430" w:rsidRPr="00F71430" w:rsidRDefault="00F71430" w:rsidP="00F71430">
      <w:pPr>
        <w:pStyle w:val="a5"/>
        <w:numPr>
          <w:ilvl w:val="0"/>
          <w:numId w:val="12"/>
        </w:numPr>
        <w:spacing w:after="0" w:line="240" w:lineRule="auto"/>
        <w:jc w:val="both"/>
        <w:rPr>
          <w:rFonts w:ascii="Times New Roman" w:hAnsi="Times New Roman"/>
          <w:sz w:val="24"/>
          <w:szCs w:val="24"/>
        </w:rPr>
      </w:pPr>
      <w:r w:rsidRPr="00F71430">
        <w:rPr>
          <w:rStyle w:val="a6"/>
          <w:rFonts w:ascii="Times New Roman" w:hAnsi="Times New Roman"/>
          <w:b w:val="0"/>
          <w:sz w:val="24"/>
          <w:szCs w:val="24"/>
        </w:rPr>
        <w:t xml:space="preserve">Национальным объединением саморегулируемых организаций в области энергетического обследования. </w:t>
      </w:r>
      <w:r w:rsidRPr="00F71430">
        <w:rPr>
          <w:rFonts w:ascii="Times New Roman" w:hAnsi="Times New Roman"/>
          <w:sz w:val="24"/>
          <w:szCs w:val="24"/>
        </w:rPr>
        <w:t>Директор Партнерства В.Л. Быков является членом Совета НОЭ. Советник директора Партнерства А.А.  Журавлев является членом Комитета по научно-методической работе и унификации документов НОЭ.</w:t>
      </w:r>
    </w:p>
    <w:p w:rsidR="00F71430" w:rsidRPr="00F71430" w:rsidRDefault="00F71430" w:rsidP="00F71430">
      <w:pPr>
        <w:pStyle w:val="a5"/>
        <w:numPr>
          <w:ilvl w:val="0"/>
          <w:numId w:val="12"/>
        </w:numPr>
        <w:spacing w:after="0" w:line="240" w:lineRule="auto"/>
        <w:jc w:val="both"/>
        <w:rPr>
          <w:rFonts w:ascii="Times New Roman" w:hAnsi="Times New Roman"/>
          <w:sz w:val="24"/>
          <w:szCs w:val="24"/>
        </w:rPr>
      </w:pPr>
      <w:r w:rsidRPr="00F71430">
        <w:rPr>
          <w:rFonts w:ascii="Times New Roman" w:hAnsi="Times New Roman"/>
          <w:sz w:val="24"/>
          <w:szCs w:val="24"/>
        </w:rPr>
        <w:t xml:space="preserve">Российским Союзом строителей (РСС). </w:t>
      </w:r>
    </w:p>
    <w:p w:rsidR="00F71430" w:rsidRPr="00F71430" w:rsidRDefault="00F71430" w:rsidP="00F71430">
      <w:pPr>
        <w:pStyle w:val="a5"/>
        <w:numPr>
          <w:ilvl w:val="0"/>
          <w:numId w:val="12"/>
        </w:numPr>
        <w:spacing w:after="0" w:line="240" w:lineRule="auto"/>
        <w:jc w:val="both"/>
        <w:rPr>
          <w:rStyle w:val="a6"/>
          <w:b w:val="0"/>
          <w:sz w:val="24"/>
          <w:szCs w:val="24"/>
        </w:rPr>
      </w:pPr>
      <w:r w:rsidRPr="00F71430">
        <w:rPr>
          <w:rStyle w:val="a6"/>
          <w:rFonts w:ascii="Times New Roman" w:hAnsi="Times New Roman"/>
          <w:b w:val="0"/>
          <w:sz w:val="24"/>
          <w:szCs w:val="24"/>
        </w:rPr>
        <w:t xml:space="preserve">Аппаратом Полномочного представителя  Президента Российской Федерации в Северо-Западном федеральном округе. Советник директора Журавлев А.А.  входит в состав Комитета по обеспечению энергоэффективности объектов капитального строительства при Координационном совете по развитию строительной отрасли. </w:t>
      </w:r>
    </w:p>
    <w:p w:rsidR="00F71430" w:rsidRPr="00F71430" w:rsidRDefault="00F71430" w:rsidP="00F71430">
      <w:pPr>
        <w:pStyle w:val="a5"/>
        <w:numPr>
          <w:ilvl w:val="0"/>
          <w:numId w:val="12"/>
        </w:numPr>
        <w:spacing w:after="0" w:line="240" w:lineRule="auto"/>
        <w:jc w:val="both"/>
        <w:rPr>
          <w:rStyle w:val="a6"/>
          <w:rFonts w:ascii="Times New Roman" w:hAnsi="Times New Roman"/>
          <w:b w:val="0"/>
          <w:sz w:val="24"/>
          <w:szCs w:val="24"/>
        </w:rPr>
      </w:pPr>
      <w:r w:rsidRPr="00F71430">
        <w:rPr>
          <w:rStyle w:val="a6"/>
          <w:rFonts w:ascii="Times New Roman" w:hAnsi="Times New Roman"/>
          <w:b w:val="0"/>
          <w:sz w:val="24"/>
          <w:szCs w:val="24"/>
        </w:rPr>
        <w:t xml:space="preserve">Санкт-Петербургской торгово-промышленной палатой. </w:t>
      </w:r>
      <w:r w:rsidRPr="00F71430">
        <w:rPr>
          <w:rFonts w:ascii="Times New Roman" w:hAnsi="Times New Roman"/>
          <w:sz w:val="24"/>
          <w:szCs w:val="24"/>
        </w:rPr>
        <w:t xml:space="preserve">Директор Партнерства В.Л. Быков возглавляет </w:t>
      </w:r>
      <w:r w:rsidRPr="00F71430">
        <w:rPr>
          <w:rStyle w:val="a6"/>
          <w:rFonts w:ascii="Times New Roman" w:hAnsi="Times New Roman"/>
          <w:b w:val="0"/>
          <w:sz w:val="24"/>
          <w:szCs w:val="24"/>
        </w:rPr>
        <w:t>Комитет по предпринимательству в сфере строительства и рынку недвижимости.</w:t>
      </w:r>
    </w:p>
    <w:p w:rsidR="00F71430" w:rsidRPr="00F71430" w:rsidRDefault="00F71430" w:rsidP="00F71430">
      <w:pPr>
        <w:pStyle w:val="a5"/>
        <w:numPr>
          <w:ilvl w:val="0"/>
          <w:numId w:val="12"/>
        </w:numPr>
        <w:spacing w:after="0" w:line="240" w:lineRule="auto"/>
        <w:jc w:val="both"/>
        <w:rPr>
          <w:rStyle w:val="a6"/>
          <w:rFonts w:ascii="Times New Roman" w:hAnsi="Times New Roman"/>
          <w:b w:val="0"/>
          <w:sz w:val="24"/>
          <w:szCs w:val="24"/>
        </w:rPr>
      </w:pPr>
      <w:r w:rsidRPr="00F71430">
        <w:rPr>
          <w:rFonts w:ascii="Times New Roman" w:hAnsi="Times New Roman"/>
          <w:sz w:val="24"/>
          <w:szCs w:val="24"/>
        </w:rPr>
        <w:t>Союзом энергетиков Северо-Запада.</w:t>
      </w:r>
    </w:p>
    <w:p w:rsidR="00F71430" w:rsidRPr="00F71430" w:rsidRDefault="00F71430" w:rsidP="00F71430">
      <w:pPr>
        <w:pStyle w:val="a5"/>
        <w:numPr>
          <w:ilvl w:val="0"/>
          <w:numId w:val="12"/>
        </w:numPr>
        <w:spacing w:after="0" w:line="240" w:lineRule="auto"/>
        <w:jc w:val="both"/>
        <w:rPr>
          <w:rStyle w:val="a6"/>
          <w:rFonts w:ascii="Times New Roman" w:hAnsi="Times New Roman"/>
          <w:b w:val="0"/>
        </w:rPr>
      </w:pPr>
      <w:r w:rsidRPr="00F71430">
        <w:rPr>
          <w:rStyle w:val="a6"/>
          <w:rFonts w:ascii="Times New Roman" w:hAnsi="Times New Roman"/>
          <w:b w:val="0"/>
          <w:sz w:val="24"/>
          <w:szCs w:val="24"/>
        </w:rPr>
        <w:t>Ассоциацией рационального использования энергоресурсов «Межотраслевая Ассоциация Энергоэффективность и Нормирование».</w:t>
      </w:r>
    </w:p>
    <w:p w:rsidR="00F71430" w:rsidRPr="001C366F" w:rsidRDefault="00F71430" w:rsidP="00F71430">
      <w:pPr>
        <w:pStyle w:val="a5"/>
        <w:spacing w:after="0" w:line="240" w:lineRule="auto"/>
        <w:ind w:left="720"/>
        <w:jc w:val="both"/>
        <w:rPr>
          <w:rStyle w:val="a6"/>
          <w:rFonts w:ascii="Times New Roman" w:hAnsi="Times New Roman"/>
        </w:rPr>
      </w:pPr>
    </w:p>
    <w:p w:rsidR="00F71430" w:rsidRDefault="00F71430" w:rsidP="00F71430">
      <w:pPr>
        <w:spacing w:after="0" w:line="240" w:lineRule="auto"/>
        <w:ind w:firstLine="360"/>
        <w:jc w:val="both"/>
        <w:rPr>
          <w:rFonts w:ascii="Times New Roman" w:hAnsi="Times New Roman"/>
        </w:rPr>
      </w:pPr>
      <w:r>
        <w:rPr>
          <w:rFonts w:ascii="Times New Roman" w:hAnsi="Times New Roman"/>
          <w:sz w:val="24"/>
          <w:szCs w:val="24"/>
        </w:rPr>
        <w:t>11 апреля 2012 года в Санкт-Петербургской торгово-промышленной палате состоялась церемония вручения членских билетов петербургским организациям, среди которых было НП «БалтЭнергоЭффект». В мероприятии от Партнерства приняли участие председатель Общественного совета НП «БалтЭнергоЭффект», вице-президент СПб ТПП А.М. Мороз и директор Партнерства, председатель Комитета по предпринимательству в сфере  строительства и рынку недвижимости СПб ТПП В.Л. Быков.</w:t>
      </w:r>
    </w:p>
    <w:p w:rsidR="00F71430" w:rsidRDefault="00F71430" w:rsidP="00F71430">
      <w:pPr>
        <w:pStyle w:val="a4"/>
        <w:ind w:firstLine="360"/>
        <w:jc w:val="both"/>
      </w:pPr>
      <w:r>
        <w:t>17 июля 2012 г</w:t>
      </w:r>
      <w:r w:rsidR="001B5831">
        <w:t>ода</w:t>
      </w:r>
      <w:r>
        <w:t xml:space="preserve"> прошло заседание Комитета по предпринимательству в сфере  строительства и рынку недвижимости СПб ТПП под председательством директора НП «БалтЭнергоЭффект»  </w:t>
      </w:r>
      <w:r>
        <w:rPr>
          <w:rStyle w:val="a6"/>
          <w:b w:val="0"/>
        </w:rPr>
        <w:t>В.Л. Быкова</w:t>
      </w:r>
      <w:r>
        <w:t>. Повестка дня заседания включала вопрос о внесении изменений в</w:t>
      </w:r>
      <w:r w:rsidR="00E063E5">
        <w:t xml:space="preserve"> Федеральный закон</w:t>
      </w:r>
      <w: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063E5">
        <w:t xml:space="preserve"> (далее 261-ФЗ)</w:t>
      </w:r>
      <w:r>
        <w:t>. Руководство СРО НП «БалтЭнергоЭффект» в ходе заседания предложило ряд мер, чтобы улучшить ситуацию в сфере действия  261-ФЗ.</w:t>
      </w:r>
    </w:p>
    <w:p w:rsidR="000C287F" w:rsidRDefault="00F71430" w:rsidP="000C287F">
      <w:pPr>
        <w:spacing w:after="0" w:line="240" w:lineRule="auto"/>
        <w:jc w:val="both"/>
        <w:rPr>
          <w:rFonts w:ascii="Times New Roman" w:hAnsi="Times New Roman"/>
          <w:sz w:val="24"/>
          <w:szCs w:val="24"/>
        </w:rPr>
      </w:pPr>
      <w:r>
        <w:rPr>
          <w:rFonts w:ascii="Times New Roman" w:hAnsi="Times New Roman"/>
          <w:sz w:val="24"/>
          <w:szCs w:val="24"/>
        </w:rPr>
        <w:t xml:space="preserve">НП «БалтЭнергоЭффект» активно участвует в социальных программах и проектах. Так уже несколько лет Партнерство оказывает материальную поддержку Детской деревне SOS-Пушкин и Детской деревне SOS-Псков. Также в связи с трагическими событиями в г. Крымске в ночь с 6-го на 7-е июля 2012 года руководство и коллектив нашего Партнерства приняли решение помочь пострадавшим от наводнения людям и оказать им посильную добровольную материальную помощь. </w:t>
      </w:r>
    </w:p>
    <w:p w:rsidR="000C287F" w:rsidRDefault="000C287F" w:rsidP="000C287F">
      <w:pPr>
        <w:spacing w:after="0" w:line="240" w:lineRule="auto"/>
        <w:jc w:val="both"/>
        <w:rPr>
          <w:rFonts w:ascii="Times New Roman" w:hAnsi="Times New Roman"/>
          <w:sz w:val="24"/>
          <w:szCs w:val="24"/>
        </w:rPr>
      </w:pPr>
    </w:p>
    <w:p w:rsidR="00D16C6D" w:rsidRDefault="00D16C6D" w:rsidP="000C287F">
      <w:pPr>
        <w:spacing w:after="0" w:line="240" w:lineRule="auto"/>
        <w:jc w:val="both"/>
        <w:rPr>
          <w:rFonts w:ascii="Times New Roman" w:hAnsi="Times New Roman"/>
          <w:b/>
          <w:sz w:val="24"/>
          <w:szCs w:val="24"/>
        </w:rPr>
      </w:pPr>
    </w:p>
    <w:p w:rsidR="00D16C6D" w:rsidRDefault="000C287F" w:rsidP="00D16C6D">
      <w:pPr>
        <w:spacing w:after="0" w:line="240" w:lineRule="auto"/>
        <w:jc w:val="both"/>
        <w:rPr>
          <w:rFonts w:ascii="Times New Roman" w:hAnsi="Times New Roman"/>
          <w:b/>
          <w:sz w:val="24"/>
          <w:szCs w:val="24"/>
        </w:rPr>
      </w:pPr>
      <w:r>
        <w:rPr>
          <w:rFonts w:ascii="Times New Roman" w:hAnsi="Times New Roman"/>
          <w:b/>
          <w:sz w:val="24"/>
          <w:szCs w:val="24"/>
        </w:rPr>
        <w:t>Информационная деятельность Партнерства</w:t>
      </w:r>
    </w:p>
    <w:p w:rsidR="00D16C6D" w:rsidRDefault="00D16C6D" w:rsidP="00D16C6D">
      <w:pPr>
        <w:spacing w:after="0" w:line="240" w:lineRule="auto"/>
        <w:jc w:val="both"/>
        <w:rPr>
          <w:rFonts w:ascii="Times New Roman" w:hAnsi="Times New Roman"/>
          <w:b/>
          <w:sz w:val="24"/>
          <w:szCs w:val="24"/>
        </w:rPr>
      </w:pPr>
    </w:p>
    <w:p w:rsidR="000C287F" w:rsidRDefault="000C287F" w:rsidP="00D16C6D">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В рамках осуществления информационной политики в 2012 году оказывалась информационная поддержка и продвижение партнерства и его членов с помощью Интернет-ресурса партнерства www.srobaltenergo.ru, освещение их деятельности в средствах массовой информации, организация участия в профильных мероприятиях. </w:t>
      </w:r>
    </w:p>
    <w:p w:rsidR="000C287F" w:rsidRDefault="000C287F" w:rsidP="000C287F">
      <w:pPr>
        <w:pStyle w:val="3"/>
        <w:spacing w:line="240" w:lineRule="auto"/>
        <w:ind w:firstLine="567"/>
        <w:jc w:val="both"/>
        <w:rPr>
          <w:rFonts w:ascii="Times New Roman" w:hAnsi="Times New Roman"/>
          <w:b w:val="0"/>
          <w:sz w:val="24"/>
          <w:szCs w:val="24"/>
        </w:rPr>
      </w:pPr>
      <w:r>
        <w:rPr>
          <w:rFonts w:ascii="Times New Roman" w:hAnsi="Times New Roman"/>
          <w:b w:val="0"/>
          <w:sz w:val="24"/>
          <w:szCs w:val="24"/>
        </w:rPr>
        <w:lastRenderedPageBreak/>
        <w:t xml:space="preserve">Так, </w:t>
      </w:r>
      <w:r>
        <w:rPr>
          <w:rStyle w:val="1"/>
          <w:rFonts w:ascii="Times New Roman" w:hAnsi="Times New Roman"/>
          <w:b w:val="0"/>
          <w:sz w:val="24"/>
          <w:szCs w:val="24"/>
        </w:rPr>
        <w:t>29 февраля 2012 года</w:t>
      </w:r>
      <w:r>
        <w:rPr>
          <w:rFonts w:ascii="Times New Roman" w:hAnsi="Times New Roman"/>
          <w:b w:val="0"/>
          <w:sz w:val="24"/>
          <w:szCs w:val="24"/>
        </w:rPr>
        <w:t xml:space="preserve"> советник директора СРО НП «БалтЭнергоЭффект» </w:t>
      </w:r>
      <w:r>
        <w:rPr>
          <w:rStyle w:val="a6"/>
          <w:sz w:val="24"/>
          <w:szCs w:val="24"/>
        </w:rPr>
        <w:t>А.А. Журавлев</w:t>
      </w:r>
      <w:r>
        <w:rPr>
          <w:rFonts w:ascii="Times New Roman" w:hAnsi="Times New Roman"/>
          <w:b w:val="0"/>
          <w:sz w:val="24"/>
          <w:szCs w:val="24"/>
        </w:rPr>
        <w:t xml:space="preserve"> принял участие в круглом столе на тему: «Энергоэффективность в промышленности: вектор развития», который</w:t>
      </w:r>
      <w:r>
        <w:rPr>
          <w:rFonts w:ascii="Times New Roman" w:hAnsi="Times New Roman"/>
          <w:sz w:val="24"/>
          <w:szCs w:val="24"/>
        </w:rPr>
        <w:t xml:space="preserve"> </w:t>
      </w:r>
      <w:r>
        <w:rPr>
          <w:rFonts w:ascii="Times New Roman" w:hAnsi="Times New Roman"/>
          <w:b w:val="0"/>
          <w:sz w:val="24"/>
          <w:szCs w:val="24"/>
        </w:rPr>
        <w:t>прошел в отеле Courtyard Marriott.</w:t>
      </w:r>
      <w:r>
        <w:t xml:space="preserve"> </w:t>
      </w:r>
      <w:r>
        <w:rPr>
          <w:rFonts w:ascii="Times New Roman" w:hAnsi="Times New Roman"/>
          <w:b w:val="0"/>
          <w:sz w:val="24"/>
          <w:szCs w:val="24"/>
        </w:rPr>
        <w:t>Организатором мероприятия выступил ИД «Коммерсант». На встрече присутствовали представители органов государственной власти, профильные ассоциации и некоммерческие партнерства, топ-менеджеры ведущих компаний энергетической отрасли, специалисты энергетического сектора.</w:t>
      </w:r>
    </w:p>
    <w:p w:rsidR="000C287F" w:rsidRDefault="000C287F" w:rsidP="000C287F">
      <w:pPr>
        <w:pStyle w:val="a4"/>
        <w:ind w:firstLine="567"/>
        <w:jc w:val="both"/>
      </w:pPr>
      <w:r>
        <w:t>10 апреля 2012 года в Санкт-Петербурге состоялась Окружная конференция членов Национального объединения саморегулируемых организаций в области энергетического обследования по Северо-Западному федеральному округу. В Окружной конференции приняли участие вице-президент, руководитель аппарата НОЭ Л.Ю. Питерский, координатор НОЭ по СЗФО А.М. Гримитлин, члены Совета нацобъединения, советник директора СРО НП «БалтЭнергоЭффект» А.А. Журавлев, представители саморегулируемых организаций Санкт-Петербурга и Калининграда. Всего в работе конференции приняли участие 29 специалистов.</w:t>
      </w:r>
    </w:p>
    <w:p w:rsidR="000C287F" w:rsidRDefault="000C287F" w:rsidP="000C287F">
      <w:pPr>
        <w:pStyle w:val="a4"/>
        <w:ind w:firstLine="567"/>
        <w:jc w:val="both"/>
      </w:pPr>
      <w:r>
        <w:t xml:space="preserve">18 апреля 2012 года в Санкт-Петербурге в рамках XII Международного конгресса по строительству IBC-2012, форума «Интерстройэкспо» прошел круглый стол «Энергосбережение: технологии, организация, экономика». В мероприятии от Партнерства приняли участие директор В.Л. Быков и советник директора А.А. </w:t>
      </w:r>
      <w:r>
        <w:rPr>
          <w:rStyle w:val="a6"/>
          <w:b w:val="0"/>
        </w:rPr>
        <w:t xml:space="preserve">Журавлев. </w:t>
      </w:r>
      <w:r>
        <w:t>Цель круглого стола - создание площадки для организации конструктивного диалога между представителями власти и бизнеса, научного сообщества, строительного комплекса страны с тем, чтобы обозначить основные проблемные точки в сфере энергосбережения и реализации 261-ФЗ, а также наметить возможные пути решения обозначенных проблем.</w:t>
      </w:r>
    </w:p>
    <w:p w:rsidR="000C287F" w:rsidRDefault="000C287F" w:rsidP="000C287F">
      <w:pPr>
        <w:pStyle w:val="a4"/>
        <w:ind w:firstLine="567"/>
        <w:jc w:val="both"/>
      </w:pPr>
      <w:r>
        <w:t>20 апреля 2012 года в рамках Международного строительного форума «Интерстройэкспо-2012» в Санкт-Петербурге состоялась XIV Конференция «Эффективные системы отопления, вентиляции, кондиционирования воздуха и теплоснабжения». Участие в конференции принял заместитель председателя Комитета Российского Союза строителей по энергоресурсосбережению, председатель Общественного совета СРО НП «БалтЭнергоЭффект», вице-президент СПб ТПП А.М. Мороз. В рамках секции «Энергосбережение и энергоэффективность. Реализованные проекты и технические решения» были рассмотрены вопросы и заслушаны доклады по темам: «Особенности рейтинговой системы оценки «зеленых» зданий в России», «Пути повышения энергоэффективности при организации воздухообмена», «Современные энергоэффективные решения очистки воздуха в системах аспирации», «Оценка энергоэффективности систем вентиляции и кондиционирования воздуха на основе методов математического моделирования», «Энергоэффективные инженерные системы. Модульные решения для строительства и реконструкции», «Вопросы энергоаудита коммунальных предприятий. Параметрический аудит насосных систем для реконструкции» и многие другие вопросы.</w:t>
      </w:r>
    </w:p>
    <w:p w:rsidR="000C287F" w:rsidRDefault="000C287F" w:rsidP="000C287F">
      <w:pPr>
        <w:pStyle w:val="a4"/>
        <w:ind w:firstLine="567"/>
        <w:jc w:val="both"/>
        <w:rPr>
          <w:b/>
        </w:rPr>
      </w:pPr>
      <w:r>
        <w:rPr>
          <w:rStyle w:val="1"/>
        </w:rPr>
        <w:t xml:space="preserve">В мае 2012 года </w:t>
      </w:r>
      <w:r>
        <w:t>в Москве состоялась встреча заместителя председателя комитета по энергоресурсосбережению Российского Союза строителей, председателя общественного совета СРО НП «БалтЭнергоЭффект», вице-президента Санкт-Петербургской торгово-промышленной палаты А.М. Мороза</w:t>
      </w:r>
      <w:r>
        <w:rPr>
          <w:rStyle w:val="name"/>
        </w:rPr>
        <w:t xml:space="preserve"> </w:t>
      </w:r>
      <w:r>
        <w:t>с вице-спикером Госдумы от партии «Справедливая Россия» Николаем Левичевым. В ходе встречи обсуждались вопросы, связанные с рядом предложений СРО НП «БалтЭнергоЭффект» по внесению изменений в Федеральный закон от 23.11.2009 г</w:t>
      </w:r>
      <w:r w:rsidR="00D16C6D">
        <w:t>ода</w:t>
      </w:r>
      <w:r>
        <w:t xml:space="preserve"> № 261</w:t>
      </w:r>
      <w:r w:rsidR="00E063E5">
        <w:t>-ФЗ</w:t>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287F" w:rsidRDefault="000C287F" w:rsidP="000C287F">
      <w:pPr>
        <w:pStyle w:val="a4"/>
        <w:ind w:firstLine="567"/>
        <w:jc w:val="both"/>
      </w:pPr>
      <w:r>
        <w:lastRenderedPageBreak/>
        <w:t xml:space="preserve">24 мая 2012 года в рамках международной специализированной выставки «Энергетика и электротехника» в Военном инженерно-техническом </w:t>
      </w:r>
      <w:r w:rsidR="00E063E5">
        <w:t xml:space="preserve">институте </w:t>
      </w:r>
      <w:r>
        <w:t xml:space="preserve">прошла научно-техническая конференция «Энергетическая эффективность теплосиловых и теплогенерирующих установок», посвященная 70-летнему юбилею кафедры двигателей и теплосиловых установок, основателем которой являлся известный теплоэнергетик России доктор технических наук профессор Александр Николаевич Ложкин. Конференция проводилась с участием Института системных исследований РАН (г. Иркутск), Комитета по энергетике Правительства Санкт-Петербурга, Комитета по энергетике и ЖКХ Ленинградской области, НП «Союз энергетиков Северо-Запада России», ОАО «Газпром-Промгаз», НП «АВОК Северо-Запад», НП «Газовый клуб» и др. организаций. На конференции  с докладом на тему: «Проведение энергоаудита в целях повышения энергетической эффективности» выступил советник директора НП «БалтЭнергоЭффект» </w:t>
      </w:r>
      <w:r>
        <w:rPr>
          <w:rStyle w:val="a6"/>
          <w:b w:val="0"/>
        </w:rPr>
        <w:t>А.А.Журавлев.</w:t>
      </w:r>
    </w:p>
    <w:p w:rsidR="000C287F" w:rsidRDefault="000C287F" w:rsidP="000C287F">
      <w:pPr>
        <w:pStyle w:val="a4"/>
        <w:ind w:firstLine="567"/>
        <w:jc w:val="both"/>
        <w:rPr>
          <w:rStyle w:val="a6"/>
          <w:b w:val="0"/>
        </w:rPr>
      </w:pPr>
      <w:r>
        <w:t>29-31 мая 2012 года состоялась III Международная научно-практическая конференция «Энергосбережение в системах тепло-и газоснабжения. Повышение энергетической эффективности». На конференции были рассмотрены проблемы метрологического обеспечения измерений как в процессе энергетического обследования, так и при определении параметров технических систем и технологического оборудования промышленных предприятий. С докладом на тему «Пути снижения энергопотребления на промышленных предприятиях по результатам энергетического обследования» выступил советник директора НП «БалтЭнергоЭффект</w:t>
      </w:r>
      <w:r>
        <w:rPr>
          <w:b/>
        </w:rPr>
        <w:t xml:space="preserve">» </w:t>
      </w:r>
      <w:r>
        <w:rPr>
          <w:rStyle w:val="a6"/>
          <w:b w:val="0"/>
        </w:rPr>
        <w:t>А.А. Журавлев.</w:t>
      </w:r>
    </w:p>
    <w:p w:rsidR="000C287F" w:rsidRDefault="000C287F" w:rsidP="000C287F">
      <w:pPr>
        <w:pStyle w:val="a4"/>
        <w:ind w:firstLine="567"/>
        <w:jc w:val="both"/>
      </w:pPr>
      <w:r>
        <w:t xml:space="preserve">26 июля 2012 года в Санкт-Петербурге состоялось совместное заседание Комитета по предпринимательству в сфере строительства и рынку недвижимости Санкт-Петербургской торгово-промышленной палаты и руководителей саморегулируемых организаций в области энергетического обследования. Решение о проведении подобного мероприятия было принято 17 июля 2012 года участниками Комитета по предпринимательству в сфере строительства и рынку недвижимости во главе с его председателем </w:t>
      </w:r>
      <w:r>
        <w:rPr>
          <w:rStyle w:val="a6"/>
          <w:b w:val="0"/>
        </w:rPr>
        <w:t>В.Л. Быковым</w:t>
      </w:r>
      <w:r>
        <w:rPr>
          <w:rStyle w:val="a6"/>
        </w:rPr>
        <w:t>.</w:t>
      </w:r>
      <w:r>
        <w:t xml:space="preserve"> В совместном заседании приняли участие вице-президент, руководитель Аппарата Национального объединения саморегулируемых организаций в области энергетического обследования </w:t>
      </w:r>
      <w:r>
        <w:rPr>
          <w:rStyle w:val="a6"/>
          <w:b w:val="0"/>
        </w:rPr>
        <w:t>Л.Ю. Питерский</w:t>
      </w:r>
      <w:r>
        <w:rPr>
          <w:b/>
        </w:rPr>
        <w:t>,</w:t>
      </w:r>
      <w:r>
        <w:t xml:space="preserve"> </w:t>
      </w:r>
      <w:r>
        <w:rPr>
          <w:rStyle w:val="a9"/>
          <w:rFonts w:eastAsia="Calibri"/>
        </w:rPr>
        <w:t> </w:t>
      </w:r>
      <w:r>
        <w:t xml:space="preserve">Президент НП «АВОК СЕВЕРО-ЗАПАД» </w:t>
      </w:r>
      <w:r>
        <w:rPr>
          <w:rStyle w:val="a6"/>
          <w:b w:val="0"/>
        </w:rPr>
        <w:t>А. М. Гримитлин</w:t>
      </w:r>
      <w:r>
        <w:rPr>
          <w:b/>
        </w:rPr>
        <w:t xml:space="preserve">, </w:t>
      </w:r>
      <w:r>
        <w:t>директор НП «БалтЭнергоЭффект</w:t>
      </w:r>
      <w:r>
        <w:rPr>
          <w:b/>
        </w:rPr>
        <w:t xml:space="preserve">» </w:t>
      </w:r>
      <w:r>
        <w:rPr>
          <w:rStyle w:val="a6"/>
          <w:b w:val="0"/>
        </w:rPr>
        <w:t>В.Л. Быков</w:t>
      </w:r>
      <w:r>
        <w:t>,  советник директора НП «БалтЭнергоЭффект» </w:t>
      </w:r>
      <w:r>
        <w:rPr>
          <w:rStyle w:val="a6"/>
          <w:b w:val="0"/>
        </w:rPr>
        <w:t>А.А. Журавлев</w:t>
      </w:r>
      <w:r>
        <w:t>, а также около 40 представителей СРО</w:t>
      </w:r>
      <w:r>
        <w:rPr>
          <w:rStyle w:val="a6"/>
        </w:rPr>
        <w:t xml:space="preserve"> </w:t>
      </w:r>
      <w:r>
        <w:t>в области энергетического обследования. Вел заседание В.Л. Быков.</w:t>
      </w:r>
    </w:p>
    <w:p w:rsidR="000C287F" w:rsidRDefault="000C287F" w:rsidP="000C287F">
      <w:pPr>
        <w:pStyle w:val="a4"/>
        <w:ind w:firstLine="567"/>
        <w:jc w:val="both"/>
        <w:rPr>
          <w:rStyle w:val="a9"/>
          <w:rFonts w:eastAsia="Calibri"/>
          <w:b/>
          <w:bCs/>
        </w:rPr>
      </w:pPr>
      <w:r>
        <w:t xml:space="preserve">13 сентября 2012 года в Санкт-Петербурге в рамках III Всероссийской научно-практической конференции «Саморегулирование в строительном комплексе: повседневная практика и законодательство» прошла секция «Энергоресурсосбережение в строительстве. Участие в работе секции приняли директор НП «БалтЭнергоЭффект» В.Л. Быков и советник директора НП «БалтЭнергоЭффект» </w:t>
      </w:r>
      <w:r>
        <w:rPr>
          <w:rStyle w:val="a9"/>
          <w:rFonts w:eastAsia="Calibri"/>
          <w:bCs/>
        </w:rPr>
        <w:t>А.А. Журавлев.</w:t>
      </w:r>
    </w:p>
    <w:p w:rsidR="000C287F" w:rsidRDefault="000C287F" w:rsidP="000C287F">
      <w:pPr>
        <w:pStyle w:val="a4"/>
        <w:ind w:firstLine="567"/>
        <w:jc w:val="both"/>
        <w:rPr>
          <w:rFonts w:eastAsia="Calibri"/>
        </w:rPr>
      </w:pPr>
      <w:r>
        <w:rPr>
          <w:rStyle w:val="a6"/>
          <w:b w:val="0"/>
        </w:rPr>
        <w:t>28 сентября 2012 года в Москве состоялся Совет Национального объединения саморегулируемых организаций в области энергетического обследования.</w:t>
      </w:r>
      <w:r>
        <w:rPr>
          <w:b/>
        </w:rPr>
        <w:t xml:space="preserve"> </w:t>
      </w:r>
      <w:r>
        <w:t>В работе Съезда принял участие советник директора НП «БалтЭнергоЭффект» А.А. Журавлев. В рамках проходящего Совета НОЭ директор Партнерства В.Л. Быков, советник директора НП «БалтЭнергоЭффект» А.А. Журавлев, председатель Совета Партнерства Н.Н. Загускин, председатель Общественного Совета Партнерства А.М. Мороз  были награждены грамотами НОЭ за значительный вклад в развитие саморегулирования в области энергетического обследования.</w:t>
      </w:r>
    </w:p>
    <w:p w:rsidR="000C287F" w:rsidRDefault="000C287F" w:rsidP="000C287F">
      <w:pPr>
        <w:pStyle w:val="a4"/>
        <w:ind w:firstLine="567"/>
        <w:jc w:val="both"/>
        <w:rPr>
          <w:rStyle w:val="a6"/>
          <w:b w:val="0"/>
        </w:rPr>
      </w:pPr>
      <w:r>
        <w:lastRenderedPageBreak/>
        <w:t xml:space="preserve">15 ноября 2012 года в зале Санкт-Петербургской торгово-промышленной палаты прошел семинар на тему: </w:t>
      </w:r>
      <w:r>
        <w:rPr>
          <w:rStyle w:val="a6"/>
          <w:b w:val="0"/>
        </w:rPr>
        <w:t>«Актуальные вопросы заполнения энергетического паспорта, составляемого по результатам обязательного энергетического обследования»</w:t>
      </w:r>
      <w:r>
        <w:rPr>
          <w:b/>
        </w:rPr>
        <w:t>,</w:t>
      </w:r>
      <w:r>
        <w:t xml:space="preserve"> в котором приняли участие 38 представителей саморегулируемых организаций  в области энергетического обследования Санкт-Петербурга. Семинар был организован и проведен по инициативе Национального объединения СРО в области энергетического обследования (НОЭ). Активную помощь и поддержку в организации и проведении семинара оказало НП «БалтЭнергоЭффект». Все участники семинара получили сертификаты, подтверждающие участие в нем. От НП «БалтЭнергоЭффект» и членов Партнерства в семинаре приняли участие директор Партнерства </w:t>
      </w:r>
      <w:r>
        <w:rPr>
          <w:rStyle w:val="a6"/>
          <w:b w:val="0"/>
        </w:rPr>
        <w:t>В.Л. Быков</w:t>
      </w:r>
      <w:r>
        <w:t xml:space="preserve">, советник  директора Партнерства </w:t>
      </w:r>
      <w:r>
        <w:rPr>
          <w:rStyle w:val="a6"/>
          <w:b w:val="0"/>
        </w:rPr>
        <w:t>А.А. Журавлев.</w:t>
      </w:r>
    </w:p>
    <w:p w:rsidR="000C287F" w:rsidRDefault="000C287F" w:rsidP="000C287F">
      <w:pPr>
        <w:pStyle w:val="a4"/>
        <w:ind w:firstLine="567"/>
        <w:jc w:val="both"/>
        <w:rPr>
          <w:b/>
        </w:rPr>
      </w:pPr>
      <w:r>
        <w:t xml:space="preserve">В ноябре 2012 года руководство Партнерства и его члены приняли участие в ряде специализированных мероприятий, среди которых – </w:t>
      </w:r>
      <w:r>
        <w:rPr>
          <w:lang w:val="en-US"/>
        </w:rPr>
        <w:t>IV</w:t>
      </w:r>
      <w:r>
        <w:t xml:space="preserve"> Международный Конгресс «Энергоэффективность. </w:t>
      </w:r>
      <w:r>
        <w:rPr>
          <w:lang w:val="en-US"/>
        </w:rPr>
        <w:t>XXI</w:t>
      </w:r>
      <w:r>
        <w:t xml:space="preserve"> век. Инженерные методы снижения энергопотребления зданий». С докладом на Пленарном заседании Конгресса выступил заместитель председателя Совета Партнерства А.М. Мороз  </w:t>
      </w:r>
    </w:p>
    <w:p w:rsidR="000C287F" w:rsidRDefault="000C287F" w:rsidP="000C287F">
      <w:pPr>
        <w:spacing w:after="0" w:line="240" w:lineRule="auto"/>
        <w:ind w:firstLine="567"/>
        <w:jc w:val="both"/>
        <w:rPr>
          <w:rFonts w:ascii="Times New Roman" w:hAnsi="Times New Roman"/>
          <w:sz w:val="24"/>
          <w:szCs w:val="24"/>
        </w:rPr>
      </w:pPr>
      <w:r>
        <w:rPr>
          <w:rFonts w:ascii="Times New Roman" w:hAnsi="Times New Roman"/>
          <w:sz w:val="24"/>
          <w:szCs w:val="24"/>
        </w:rPr>
        <w:t>В текущем году в рамках осуществления информационной политики Партнерство также выполняло следующие задачи:</w:t>
      </w:r>
    </w:p>
    <w:p w:rsidR="000C287F" w:rsidRDefault="000C287F" w:rsidP="000C287F">
      <w:pPr>
        <w:pStyle w:val="a5"/>
        <w:numPr>
          <w:ilvl w:val="0"/>
          <w:numId w:val="13"/>
        </w:numPr>
        <w:spacing w:after="10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обеспечение информацией о деятельности Партнерства заинтересованных лиц, в том числе путем размещения информации на официальном сайте Партнерства;</w:t>
      </w:r>
    </w:p>
    <w:p w:rsidR="000C287F" w:rsidRPr="00F71430" w:rsidRDefault="000C287F" w:rsidP="000C287F">
      <w:pPr>
        <w:pStyle w:val="a5"/>
        <w:numPr>
          <w:ilvl w:val="0"/>
          <w:numId w:val="13"/>
        </w:numPr>
        <w:spacing w:after="100" w:line="240" w:lineRule="auto"/>
        <w:ind w:left="0" w:firstLine="567"/>
        <w:contextualSpacing/>
        <w:jc w:val="both"/>
        <w:rPr>
          <w:rFonts w:ascii="Times New Roman" w:eastAsia="Times New Roman" w:hAnsi="Times New Roman"/>
          <w:sz w:val="24"/>
          <w:szCs w:val="24"/>
        </w:rPr>
      </w:pPr>
      <w:r w:rsidRPr="00F71430">
        <w:rPr>
          <w:rFonts w:ascii="Times New Roman" w:hAnsi="Times New Roman"/>
          <w:sz w:val="24"/>
          <w:szCs w:val="24"/>
        </w:rPr>
        <w:t xml:space="preserve"> взаимодействие со СМИ для своевременного информирования общественности о важнейших событиях в деятельности Партнерства, а также его членов. За 2012 год опубликовано более 30 материалов в профильных и общественно-деловых СМИ, вышло 3  телевизионных сюжета. </w:t>
      </w:r>
    </w:p>
    <w:p w:rsidR="000C287F" w:rsidRPr="00F71430" w:rsidRDefault="000C287F" w:rsidP="000C287F">
      <w:pPr>
        <w:pStyle w:val="a5"/>
        <w:spacing w:after="100" w:line="240" w:lineRule="auto"/>
        <w:ind w:left="0" w:firstLine="567"/>
        <w:contextualSpacing/>
        <w:jc w:val="both"/>
        <w:rPr>
          <w:rFonts w:ascii="Times New Roman" w:eastAsia="Times New Roman" w:hAnsi="Times New Roman"/>
          <w:sz w:val="24"/>
          <w:szCs w:val="24"/>
        </w:rPr>
      </w:pPr>
      <w:r w:rsidRPr="00F71430">
        <w:rPr>
          <w:rFonts w:ascii="Times New Roman" w:hAnsi="Times New Roman"/>
          <w:sz w:val="24"/>
          <w:szCs w:val="24"/>
        </w:rPr>
        <w:t xml:space="preserve">На сегодняшний день </w:t>
      </w:r>
      <w:r w:rsidRPr="00F71430">
        <w:rPr>
          <w:rFonts w:ascii="Times New Roman" w:eastAsia="Times New Roman" w:hAnsi="Times New Roman"/>
          <w:sz w:val="24"/>
          <w:szCs w:val="24"/>
        </w:rPr>
        <w:t>в целях информирования общественности о деятельности Партнерства и продвижения компаний-членов Партнерства осуществляется сотрудничество с такими ведущими специализированными, деловыми и общественно-политическими СМИ, как:</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«Балтийский горизонт»</w:t>
      </w:r>
      <w:r>
        <w:rPr>
          <w:rFonts w:ascii="Times New Roman" w:eastAsia="Times New Roman" w:hAnsi="Times New Roman"/>
          <w:sz w:val="24"/>
          <w:szCs w:val="24"/>
          <w:lang w:val="en-US"/>
        </w:rPr>
        <w:t>;</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«Российский строительный комплекс»;</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«Вестник строительного комплекса»;</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журнал «Новые возможности»; </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газета «Кто строит в Петербурге»;</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«Бизнес-информ»;</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газета «Строительный еженедельник»</w:t>
      </w:r>
      <w:r>
        <w:rPr>
          <w:rFonts w:ascii="Times New Roman" w:eastAsia="Times New Roman" w:hAnsi="Times New Roman"/>
          <w:sz w:val="24"/>
          <w:szCs w:val="24"/>
          <w:lang w:val="en-US"/>
        </w:rPr>
        <w:t>;</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«Энергонадзор-Информ»;</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«Инженерные системы»</w:t>
      </w:r>
      <w:r>
        <w:rPr>
          <w:rFonts w:ascii="Times New Roman" w:eastAsia="Times New Roman" w:hAnsi="Times New Roman"/>
          <w:sz w:val="24"/>
          <w:szCs w:val="24"/>
          <w:lang w:val="en-US"/>
        </w:rPr>
        <w:t>;</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«Энергетика и промышленность России»;</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журнал «Строительство и городское хозяйство»;</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телеканал «Строй-ТВ»</w:t>
      </w:r>
      <w:r>
        <w:rPr>
          <w:rFonts w:ascii="Times New Roman" w:eastAsia="Times New Roman" w:hAnsi="Times New Roman"/>
          <w:sz w:val="24"/>
          <w:szCs w:val="24"/>
          <w:lang w:val="en-US"/>
        </w:rPr>
        <w:t>;</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интернет-портал: «Саморегулирование в строительной отрасли»;</w:t>
      </w:r>
    </w:p>
    <w:p w:rsidR="000C287F" w:rsidRDefault="000C287F" w:rsidP="000C287F">
      <w:pPr>
        <w:numPr>
          <w:ilvl w:val="0"/>
          <w:numId w:val="14"/>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информационный интернет-портал </w:t>
      </w:r>
      <w:r>
        <w:rPr>
          <w:rFonts w:ascii="Times New Roman" w:eastAsia="Times New Roman" w:hAnsi="Times New Roman"/>
          <w:sz w:val="24"/>
          <w:szCs w:val="24"/>
          <w:lang w:val="en-US"/>
        </w:rPr>
        <w:t>SROportal</w:t>
      </w:r>
      <w:r>
        <w:rPr>
          <w:rFonts w:ascii="Times New Roman" w:eastAsia="Times New Roman" w:hAnsi="Times New Roman"/>
          <w:sz w:val="24"/>
          <w:szCs w:val="24"/>
        </w:rPr>
        <w:t>.</w:t>
      </w:r>
      <w:r>
        <w:rPr>
          <w:rFonts w:ascii="Times New Roman" w:eastAsia="Times New Roman" w:hAnsi="Times New Roman"/>
          <w:sz w:val="24"/>
          <w:szCs w:val="24"/>
          <w:lang w:val="en-US"/>
        </w:rPr>
        <w:t>ru</w:t>
      </w:r>
      <w:r>
        <w:rPr>
          <w:rFonts w:ascii="Times New Roman" w:eastAsia="Times New Roman" w:hAnsi="Times New Roman"/>
          <w:sz w:val="24"/>
          <w:szCs w:val="24"/>
        </w:rPr>
        <w:t>.</w:t>
      </w:r>
    </w:p>
    <w:p w:rsidR="000C287F" w:rsidRDefault="000C287F" w:rsidP="000C287F">
      <w:pPr>
        <w:tabs>
          <w:tab w:val="left" w:pos="0"/>
        </w:tabs>
        <w:spacing w:after="0" w:line="240" w:lineRule="auto"/>
        <w:jc w:val="both"/>
        <w:rPr>
          <w:rFonts w:ascii="Times New Roman" w:hAnsi="Times New Roman"/>
          <w:b/>
          <w:color w:val="C00000"/>
          <w:sz w:val="24"/>
          <w:szCs w:val="24"/>
        </w:rPr>
      </w:pPr>
    </w:p>
    <w:p w:rsidR="00926176" w:rsidRDefault="00926176" w:rsidP="0027547E">
      <w:pPr>
        <w:spacing w:after="0" w:line="240" w:lineRule="auto"/>
        <w:jc w:val="both"/>
        <w:rPr>
          <w:rFonts w:ascii="Times New Roman" w:hAnsi="Times New Roman"/>
          <w:b/>
          <w:sz w:val="24"/>
          <w:szCs w:val="24"/>
        </w:rPr>
      </w:pPr>
    </w:p>
    <w:p w:rsidR="00926176" w:rsidRDefault="00926176" w:rsidP="0027547E">
      <w:pPr>
        <w:spacing w:after="0" w:line="240" w:lineRule="auto"/>
        <w:jc w:val="both"/>
        <w:rPr>
          <w:rFonts w:ascii="Times New Roman" w:hAnsi="Times New Roman"/>
          <w:b/>
          <w:sz w:val="24"/>
          <w:szCs w:val="24"/>
        </w:rPr>
      </w:pPr>
    </w:p>
    <w:p w:rsidR="00926176" w:rsidRDefault="00926176" w:rsidP="0027547E">
      <w:pPr>
        <w:spacing w:after="0" w:line="240" w:lineRule="auto"/>
        <w:jc w:val="both"/>
        <w:rPr>
          <w:rFonts w:ascii="Times New Roman" w:hAnsi="Times New Roman"/>
          <w:b/>
          <w:sz w:val="24"/>
          <w:szCs w:val="24"/>
        </w:rPr>
      </w:pPr>
    </w:p>
    <w:p w:rsidR="00926176" w:rsidRDefault="00926176" w:rsidP="0027547E">
      <w:pPr>
        <w:spacing w:after="0" w:line="240" w:lineRule="auto"/>
        <w:jc w:val="both"/>
        <w:rPr>
          <w:rFonts w:ascii="Times New Roman" w:hAnsi="Times New Roman"/>
          <w:b/>
          <w:sz w:val="24"/>
          <w:szCs w:val="24"/>
        </w:rPr>
      </w:pPr>
    </w:p>
    <w:p w:rsidR="00926176" w:rsidRDefault="00926176" w:rsidP="0027547E">
      <w:pPr>
        <w:spacing w:after="0" w:line="240" w:lineRule="auto"/>
        <w:jc w:val="both"/>
        <w:rPr>
          <w:rFonts w:ascii="Times New Roman" w:hAnsi="Times New Roman"/>
          <w:b/>
          <w:sz w:val="24"/>
          <w:szCs w:val="24"/>
        </w:rPr>
      </w:pPr>
    </w:p>
    <w:p w:rsidR="00926176" w:rsidRDefault="00926176" w:rsidP="0027547E">
      <w:pPr>
        <w:spacing w:after="0" w:line="240" w:lineRule="auto"/>
        <w:jc w:val="both"/>
        <w:rPr>
          <w:rFonts w:ascii="Times New Roman" w:hAnsi="Times New Roman"/>
          <w:b/>
          <w:sz w:val="24"/>
          <w:szCs w:val="24"/>
        </w:rPr>
      </w:pPr>
    </w:p>
    <w:p w:rsidR="0027547E" w:rsidRDefault="0027547E" w:rsidP="0027547E">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lastRenderedPageBreak/>
        <w:t>Юридический отдел</w:t>
      </w:r>
    </w:p>
    <w:p w:rsidR="0027547E" w:rsidRDefault="0027547E" w:rsidP="0027547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6CF6" w:rsidRDefault="00D96CF6" w:rsidP="0027547E">
      <w:pPr>
        <w:pStyle w:val="a5"/>
        <w:spacing w:after="0" w:line="240" w:lineRule="auto"/>
        <w:ind w:left="0" w:firstLine="567"/>
        <w:jc w:val="both"/>
        <w:rPr>
          <w:rFonts w:ascii="Times New Roman" w:hAnsi="Times New Roman"/>
          <w:sz w:val="24"/>
          <w:szCs w:val="24"/>
        </w:rPr>
      </w:pPr>
      <w:r w:rsidRPr="00D96CF6">
        <w:rPr>
          <w:rFonts w:ascii="Times New Roman" w:hAnsi="Times New Roman"/>
          <w:sz w:val="24"/>
          <w:szCs w:val="24"/>
        </w:rPr>
        <w:t xml:space="preserve">В 2012 году </w:t>
      </w:r>
      <w:r>
        <w:rPr>
          <w:rFonts w:ascii="Times New Roman" w:hAnsi="Times New Roman"/>
          <w:sz w:val="24"/>
          <w:szCs w:val="24"/>
        </w:rPr>
        <w:t>юридическим отделом НП «БалтЭнергоЭффект» выполнены следующие работы:</w:t>
      </w:r>
    </w:p>
    <w:p w:rsidR="00D96CF6" w:rsidRDefault="00D96CF6" w:rsidP="00D96CF6">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осуществлялось составление, правовая экспертиза гражданско-правовых договоров, дополнительных соглашений к ним, соглашений о расторжении договоров;</w:t>
      </w:r>
    </w:p>
    <w:p w:rsidR="00D96CF6" w:rsidRDefault="00D96CF6" w:rsidP="00D96CF6">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разрабатывались и согласовывались приказы по личному составу, по административно-хозяйственной и организационной деятельности НП «БалтЭнергоЭффект»;</w:t>
      </w:r>
    </w:p>
    <w:p w:rsidR="00D96CF6" w:rsidRDefault="00D96CF6" w:rsidP="00D96CF6">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осуществлялась подготовка и направление ответов на обращения, которые поступают в НП «БалтЭнергоЭффект»;</w:t>
      </w:r>
    </w:p>
    <w:p w:rsidR="00D96CF6" w:rsidRDefault="00D96CF6" w:rsidP="00D96CF6">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осуществлялось консультирование работников структурных подразделений</w:t>
      </w:r>
      <w:r w:rsidR="00033723">
        <w:rPr>
          <w:rFonts w:ascii="Times New Roman" w:hAnsi="Times New Roman"/>
          <w:sz w:val="24"/>
          <w:szCs w:val="24"/>
        </w:rPr>
        <w:t xml:space="preserve"> НП «БалтЭнергоЭффект», а также членов Партнерства;</w:t>
      </w:r>
    </w:p>
    <w:p w:rsidR="00033723" w:rsidRDefault="00033723" w:rsidP="00D96CF6">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разрабатывались юридические заключения по правовым вопросам;</w:t>
      </w:r>
    </w:p>
    <w:p w:rsidR="00794B22" w:rsidRDefault="00794B22" w:rsidP="00794B22">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согласовывались протоколы заседания Совета Партнерства;</w:t>
      </w:r>
    </w:p>
    <w:p w:rsidR="00794B22" w:rsidRDefault="00794B22" w:rsidP="00794B22">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составлен и направлен </w:t>
      </w:r>
      <w:r w:rsidR="001B04BF">
        <w:rPr>
          <w:rFonts w:ascii="Times New Roman" w:hAnsi="Times New Roman"/>
          <w:sz w:val="24"/>
          <w:szCs w:val="24"/>
        </w:rPr>
        <w:t>в Министерство юстиции РФ отчет о деятельности некоммерческой организации в 2011 году;</w:t>
      </w:r>
    </w:p>
    <w:p w:rsidR="001B04BF" w:rsidRDefault="001B04BF" w:rsidP="00794B22">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осуществлялось согласование трудовых договоров, дополнительных соглашений к ним;</w:t>
      </w:r>
    </w:p>
    <w:p w:rsidR="001B04BF" w:rsidRDefault="001B04BF" w:rsidP="00794B22">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проводилась работа по составлению доверенностей на представительство интересов НП «БалтЭнергоЭффект»;</w:t>
      </w:r>
    </w:p>
    <w:p w:rsidR="001B04BF" w:rsidRDefault="001B04BF" w:rsidP="00794B22">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проводилась работа по подготовке к годовому Общему собранию членов НП «БалтЭнергоЭффект»;</w:t>
      </w:r>
    </w:p>
    <w:p w:rsidR="00D96CF6" w:rsidRDefault="001B04BF" w:rsidP="00DA6D2D">
      <w:pPr>
        <w:pStyle w:val="a5"/>
        <w:numPr>
          <w:ilvl w:val="0"/>
          <w:numId w:val="11"/>
        </w:numPr>
        <w:spacing w:after="0" w:line="240" w:lineRule="auto"/>
        <w:ind w:left="1276" w:hanging="283"/>
        <w:jc w:val="both"/>
        <w:rPr>
          <w:rFonts w:ascii="Times New Roman" w:hAnsi="Times New Roman"/>
          <w:sz w:val="24"/>
          <w:szCs w:val="24"/>
        </w:rPr>
      </w:pPr>
      <w:r w:rsidRPr="00DA6D2D">
        <w:rPr>
          <w:rFonts w:ascii="Times New Roman" w:hAnsi="Times New Roman"/>
          <w:sz w:val="24"/>
          <w:szCs w:val="24"/>
        </w:rPr>
        <w:t xml:space="preserve">подготовлены предложения и поправки к </w:t>
      </w:r>
      <w:r w:rsidR="00DA6D2D" w:rsidRPr="00DA6D2D">
        <w:rPr>
          <w:rFonts w:ascii="Times New Roman" w:hAnsi="Times New Roman"/>
          <w:sz w:val="24"/>
          <w:szCs w:val="24"/>
        </w:rPr>
        <w:t>проекту Федерального закона № 104515-6 «О внесении изменений в Федеральный закон № 261-ФЗ «Об энергосбережении и о повышении энергетической эффективности и о внесении изменений в отдельные законодател</w:t>
      </w:r>
      <w:r w:rsidR="00DA6D2D">
        <w:rPr>
          <w:rFonts w:ascii="Times New Roman" w:hAnsi="Times New Roman"/>
          <w:sz w:val="24"/>
          <w:szCs w:val="24"/>
        </w:rPr>
        <w:t>ьные акты Российской Федерации»;</w:t>
      </w:r>
    </w:p>
    <w:p w:rsidR="00DA6D2D" w:rsidRDefault="00DA6D2D" w:rsidP="00DA6D2D">
      <w:pPr>
        <w:pStyle w:val="a5"/>
        <w:numPr>
          <w:ilvl w:val="0"/>
          <w:numId w:val="11"/>
        </w:numPr>
        <w:spacing w:after="0" w:line="240" w:lineRule="auto"/>
        <w:ind w:left="1276" w:hanging="283"/>
        <w:jc w:val="both"/>
        <w:rPr>
          <w:rFonts w:ascii="Times New Roman" w:hAnsi="Times New Roman"/>
          <w:sz w:val="24"/>
          <w:szCs w:val="24"/>
        </w:rPr>
      </w:pPr>
      <w:r>
        <w:rPr>
          <w:rFonts w:ascii="Times New Roman" w:hAnsi="Times New Roman"/>
          <w:sz w:val="24"/>
          <w:szCs w:val="24"/>
        </w:rPr>
        <w:t>направлялись запросы в Департамент энергоэффективности, модернизации и развития ТЭК Минэнерго России по вопросам деятельности НП «БалтЭнергоЭффект»;</w:t>
      </w:r>
    </w:p>
    <w:p w:rsidR="00DA6D2D" w:rsidRDefault="00DA6D2D" w:rsidP="00DA6D2D">
      <w:pPr>
        <w:spacing w:after="0" w:line="240" w:lineRule="auto"/>
        <w:jc w:val="both"/>
        <w:rPr>
          <w:rFonts w:ascii="Times New Roman" w:hAnsi="Times New Roman"/>
          <w:sz w:val="24"/>
          <w:szCs w:val="24"/>
        </w:rPr>
      </w:pPr>
    </w:p>
    <w:p w:rsidR="00785B59" w:rsidRDefault="00785B59" w:rsidP="00DA6D2D">
      <w:pPr>
        <w:spacing w:after="0" w:line="240" w:lineRule="auto"/>
        <w:jc w:val="both"/>
        <w:rPr>
          <w:rFonts w:ascii="Times New Roman" w:hAnsi="Times New Roman"/>
          <w:sz w:val="24"/>
          <w:szCs w:val="24"/>
        </w:rPr>
      </w:pPr>
    </w:p>
    <w:p w:rsidR="0027547E" w:rsidRDefault="0027547E" w:rsidP="0027547E">
      <w:pPr>
        <w:rPr>
          <w:rFonts w:ascii="Times New Roman" w:hAnsi="Times New Roman"/>
          <w:b/>
          <w:sz w:val="24"/>
          <w:szCs w:val="24"/>
        </w:rPr>
      </w:pPr>
      <w:r>
        <w:rPr>
          <w:rFonts w:ascii="Times New Roman" w:hAnsi="Times New Roman"/>
          <w:b/>
          <w:sz w:val="24"/>
          <w:szCs w:val="24"/>
        </w:rPr>
        <w:t>Департамент по экспертно-методической работе</w:t>
      </w:r>
    </w:p>
    <w:p w:rsidR="0027547E" w:rsidRDefault="0027547E" w:rsidP="0027547E">
      <w:pPr>
        <w:spacing w:after="0" w:line="240" w:lineRule="auto"/>
        <w:ind w:firstLine="567"/>
        <w:jc w:val="both"/>
        <w:rPr>
          <w:rFonts w:ascii="Times New Roman" w:hAnsi="Times New Roman"/>
          <w:sz w:val="24"/>
          <w:szCs w:val="24"/>
        </w:rPr>
      </w:pPr>
      <w:r>
        <w:rPr>
          <w:rFonts w:ascii="Times New Roman" w:hAnsi="Times New Roman"/>
          <w:sz w:val="24"/>
          <w:szCs w:val="24"/>
        </w:rPr>
        <w:t>Департамент по экспертно-методической работе осуществляет организацию приема от юридических и физических лиц, индивидуальных предпринимателей, осуществляющих деятельность в области энергетического обследования, заявлений о принятии в члены СРО, о выдаче свидетельств о членстве в саморегулируемой организации, а также выполняет разработку требований и  методических рекомендаций по вопросам, связанным с приемом в члены СРО.</w:t>
      </w:r>
    </w:p>
    <w:p w:rsidR="0027547E" w:rsidRPr="00470ED3" w:rsidRDefault="0027547E" w:rsidP="0027547E">
      <w:pPr>
        <w:pStyle w:val="a4"/>
        <w:spacing w:before="0" w:beforeAutospacing="0" w:after="0" w:afterAutospacing="0"/>
        <w:ind w:firstLine="567"/>
        <w:jc w:val="both"/>
      </w:pPr>
      <w:r w:rsidRPr="00470ED3">
        <w:t>В 201</w:t>
      </w:r>
      <w:r w:rsidR="007E5DEE">
        <w:t>2</w:t>
      </w:r>
      <w:r w:rsidRPr="00470ED3">
        <w:t xml:space="preserve"> году сотрудниками Департамента по Экспертно-методической работе Партнерства принято и направлено на рассмотрение Совета </w:t>
      </w:r>
      <w:r w:rsidR="009C26FD">
        <w:t>38</w:t>
      </w:r>
      <w:r w:rsidRPr="00470ED3">
        <w:t xml:space="preserve"> заявлени</w:t>
      </w:r>
      <w:r w:rsidR="009C26FD">
        <w:t>й</w:t>
      </w:r>
      <w:r w:rsidRPr="00470ED3">
        <w:t xml:space="preserve"> о приеме в члены Партнерства. На основании решений Совета в состав Партнерства принято </w:t>
      </w:r>
      <w:r w:rsidR="009C26FD">
        <w:t>38</w:t>
      </w:r>
      <w:r w:rsidRPr="00470ED3">
        <w:t xml:space="preserve"> организаци</w:t>
      </w:r>
      <w:r w:rsidR="009C26FD">
        <w:t>й</w:t>
      </w:r>
      <w:r w:rsidRPr="00470ED3">
        <w:t>, из них из Санкт-Петербурга и Ленинградской области –</w:t>
      </w:r>
      <w:r w:rsidR="009C26FD">
        <w:t>16</w:t>
      </w:r>
      <w:r w:rsidRPr="00470ED3">
        <w:t xml:space="preserve"> член</w:t>
      </w:r>
      <w:r w:rsidR="009C26FD">
        <w:t>ов</w:t>
      </w:r>
      <w:r w:rsidRPr="00470ED3">
        <w:t xml:space="preserve"> (42% от общей численности принятых в 201</w:t>
      </w:r>
      <w:r w:rsidR="009C26FD">
        <w:t>2</w:t>
      </w:r>
      <w:r w:rsidRPr="00470ED3">
        <w:t xml:space="preserve"> году членов); из других субъектов Российской Федерации – </w:t>
      </w:r>
      <w:r w:rsidR="009C26FD">
        <w:t>22</w:t>
      </w:r>
      <w:r w:rsidRPr="00470ED3">
        <w:t xml:space="preserve"> члена (5</w:t>
      </w:r>
      <w:r w:rsidR="009C26FD">
        <w:t>8</w:t>
      </w:r>
      <w:r w:rsidRPr="00470ED3">
        <w:t xml:space="preserve">%). </w:t>
      </w:r>
    </w:p>
    <w:p w:rsidR="009C26FD" w:rsidRDefault="0027547E" w:rsidP="0027547E">
      <w:pPr>
        <w:pStyle w:val="a4"/>
        <w:spacing w:before="0" w:beforeAutospacing="0" w:after="0" w:afterAutospacing="0"/>
        <w:ind w:firstLine="567"/>
        <w:jc w:val="both"/>
      </w:pPr>
      <w:r w:rsidRPr="00470ED3">
        <w:t>Следует отметить, что 3 организации, вступившие в 2011 году, были исключены по причине неоплаты взносов в компенсационный фонд</w:t>
      </w:r>
      <w:r>
        <w:t>.</w:t>
      </w:r>
    </w:p>
    <w:p w:rsidR="009C26FD" w:rsidRDefault="009C26FD" w:rsidP="0027547E">
      <w:pPr>
        <w:pStyle w:val="a4"/>
        <w:spacing w:before="0" w:beforeAutospacing="0" w:after="0" w:afterAutospacing="0"/>
        <w:ind w:firstLine="567"/>
        <w:jc w:val="both"/>
      </w:pPr>
      <w:r>
        <w:rPr>
          <w:noProof/>
        </w:rPr>
        <w:lastRenderedPageBreak/>
        <w:drawing>
          <wp:inline distT="0" distB="0" distL="0" distR="0" wp14:anchorId="3B79B375" wp14:editId="46E65D21">
            <wp:extent cx="5747657" cy="2843684"/>
            <wp:effectExtent l="0" t="0" r="24765" b="1397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47E" w:rsidRDefault="0027547E" w:rsidP="0027547E">
      <w:pPr>
        <w:pStyle w:val="a4"/>
        <w:spacing w:before="0" w:beforeAutospacing="0" w:after="0" w:afterAutospacing="0"/>
        <w:ind w:firstLine="567"/>
        <w:jc w:val="both"/>
      </w:pPr>
      <w:r>
        <w:t xml:space="preserve">На сегодняшний день в трех субъектах Российской Федерации действуют  обособленные подразделения НП «БалтЭнергоЭффект» - территориальные управления,  а именно: </w:t>
      </w:r>
    </w:p>
    <w:tbl>
      <w:tblPr>
        <w:tblW w:w="9540" w:type="dxa"/>
        <w:tblInd w:w="108" w:type="dxa"/>
        <w:tblLook w:val="04A0" w:firstRow="1" w:lastRow="0" w:firstColumn="1" w:lastColumn="0" w:noHBand="0" w:noVBand="1"/>
      </w:tblPr>
      <w:tblGrid>
        <w:gridCol w:w="9576"/>
      </w:tblGrid>
      <w:tr w:rsidR="0027547E" w:rsidTr="00E665A8">
        <w:trPr>
          <w:trHeight w:val="255"/>
        </w:trPr>
        <w:tc>
          <w:tcPr>
            <w:tcW w:w="9540" w:type="dxa"/>
            <w:noWrap/>
            <w:vAlign w:val="bottom"/>
            <w:hideMark/>
          </w:tcPr>
          <w:p w:rsidR="0027547E" w:rsidRDefault="0027547E" w:rsidP="00E665A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В Калининградской области.</w:t>
            </w:r>
          </w:p>
        </w:tc>
      </w:tr>
      <w:tr w:rsidR="0027547E" w:rsidTr="00E665A8">
        <w:trPr>
          <w:trHeight w:val="255"/>
        </w:trPr>
        <w:tc>
          <w:tcPr>
            <w:tcW w:w="9540" w:type="dxa"/>
            <w:noWrap/>
            <w:vAlign w:val="bottom"/>
            <w:hideMark/>
          </w:tcPr>
          <w:p w:rsidR="0027547E" w:rsidRDefault="0027547E" w:rsidP="00E665A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В Иркутской области, Республике Бурятия и Республике Саха (Якутия).</w:t>
            </w:r>
          </w:p>
        </w:tc>
      </w:tr>
      <w:tr w:rsidR="0027547E" w:rsidTr="00E665A8">
        <w:trPr>
          <w:trHeight w:val="255"/>
        </w:trPr>
        <w:tc>
          <w:tcPr>
            <w:tcW w:w="9540" w:type="dxa"/>
            <w:noWrap/>
            <w:vAlign w:val="bottom"/>
            <w:hideMark/>
          </w:tcPr>
          <w:p w:rsidR="0027547E" w:rsidRDefault="0027547E" w:rsidP="00E665A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По Югу России.</w:t>
            </w:r>
          </w:p>
          <w:p w:rsidR="009C26FD" w:rsidRDefault="009C26FD" w:rsidP="009C26FD">
            <w:pPr>
              <w:spacing w:after="0" w:line="240" w:lineRule="auto"/>
              <w:jc w:val="both"/>
              <w:rPr>
                <w:rFonts w:ascii="Times New Roman" w:hAnsi="Times New Roman"/>
                <w:sz w:val="24"/>
                <w:szCs w:val="24"/>
              </w:rPr>
            </w:pPr>
            <w:r>
              <w:rPr>
                <w:rFonts w:ascii="Times New Roman" w:hAnsi="Times New Roman"/>
                <w:sz w:val="24"/>
                <w:szCs w:val="24"/>
              </w:rPr>
              <w:t>Кроме того, представители Партнерства есть в Псковской области и в Республике Карелия.</w:t>
            </w:r>
          </w:p>
          <w:p w:rsidR="0027547E" w:rsidRDefault="0027547E" w:rsidP="00E665A8">
            <w:pPr>
              <w:spacing w:after="0" w:line="240" w:lineRule="auto"/>
              <w:jc w:val="both"/>
              <w:rPr>
                <w:rFonts w:ascii="Times New Roman" w:hAnsi="Times New Roman"/>
                <w:sz w:val="24"/>
                <w:szCs w:val="24"/>
              </w:rPr>
            </w:pPr>
            <w:r>
              <w:rPr>
                <w:noProof/>
                <w:lang w:eastAsia="ru-RU"/>
              </w:rPr>
              <w:drawing>
                <wp:inline distT="0" distB="0" distL="0" distR="0">
                  <wp:extent cx="5918200" cy="2512060"/>
                  <wp:effectExtent l="0" t="0" r="25400" b="2159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7547E" w:rsidRDefault="0027547E" w:rsidP="0027547E">
      <w:pPr>
        <w:pStyle w:val="a4"/>
        <w:spacing w:before="0" w:beforeAutospacing="0" w:after="0" w:afterAutospacing="0"/>
        <w:ind w:firstLine="567"/>
        <w:jc w:val="both"/>
      </w:pPr>
    </w:p>
    <w:p w:rsidR="0027547E" w:rsidRDefault="0027547E" w:rsidP="0027547E">
      <w:pPr>
        <w:pStyle w:val="a4"/>
        <w:spacing w:before="0" w:beforeAutospacing="0" w:after="0" w:afterAutospacing="0"/>
        <w:ind w:firstLine="567"/>
        <w:jc w:val="both"/>
      </w:pPr>
    </w:p>
    <w:p w:rsidR="0027547E" w:rsidRPr="009C70D3" w:rsidRDefault="009C70D3" w:rsidP="0027547E">
      <w:pPr>
        <w:pStyle w:val="a4"/>
        <w:spacing w:before="0" w:beforeAutospacing="0" w:after="0" w:afterAutospacing="0"/>
        <w:ind w:firstLine="567"/>
        <w:jc w:val="both"/>
      </w:pPr>
      <w:r w:rsidRPr="009C70D3">
        <w:t xml:space="preserve">В общей сложности в составе </w:t>
      </w:r>
      <w:r w:rsidR="0027547E" w:rsidRPr="009C70D3">
        <w:t xml:space="preserve">территориальных управлений </w:t>
      </w:r>
      <w:r w:rsidRPr="009C70D3">
        <w:t xml:space="preserve">состоит </w:t>
      </w:r>
      <w:r w:rsidR="0027547E" w:rsidRPr="009C70D3">
        <w:t xml:space="preserve"> </w:t>
      </w:r>
      <w:r w:rsidRPr="009C70D3">
        <w:t>3</w:t>
      </w:r>
      <w:r w:rsidR="0027547E" w:rsidRPr="009C70D3">
        <w:t>4 организации</w:t>
      </w:r>
      <w:r w:rsidRPr="009C70D3">
        <w:t xml:space="preserve"> - </w:t>
      </w:r>
      <w:r w:rsidR="0027547E" w:rsidRPr="009C70D3">
        <w:t xml:space="preserve"> </w:t>
      </w:r>
      <w:r w:rsidRPr="009C70D3">
        <w:t>членов НП «БалтЭнергоЭффект».</w:t>
      </w:r>
    </w:p>
    <w:p w:rsidR="0027547E" w:rsidRDefault="0027547E" w:rsidP="0027547E">
      <w:pPr>
        <w:rPr>
          <w:rFonts w:ascii="Times New Roman" w:hAnsi="Times New Roman"/>
          <w:b/>
          <w:sz w:val="24"/>
          <w:szCs w:val="24"/>
        </w:rPr>
      </w:pPr>
    </w:p>
    <w:p w:rsidR="0027547E" w:rsidRDefault="00610C1A" w:rsidP="0027547E">
      <w:pPr>
        <w:rPr>
          <w:rFonts w:ascii="Times New Roman" w:hAnsi="Times New Roman"/>
          <w:b/>
          <w:sz w:val="24"/>
          <w:szCs w:val="24"/>
        </w:rPr>
      </w:pPr>
      <w:r>
        <w:rPr>
          <w:rFonts w:ascii="Times New Roman" w:hAnsi="Times New Roman"/>
          <w:b/>
          <w:sz w:val="24"/>
          <w:szCs w:val="24"/>
        </w:rPr>
        <w:t>От</w:t>
      </w:r>
      <w:r w:rsidR="0027547E">
        <w:rPr>
          <w:rFonts w:ascii="Times New Roman" w:hAnsi="Times New Roman"/>
          <w:b/>
          <w:sz w:val="24"/>
          <w:szCs w:val="24"/>
        </w:rPr>
        <w:t>дел информатизации и организации ведения реестра (ОИ и ОВР)</w:t>
      </w:r>
    </w:p>
    <w:p w:rsidR="0027547E" w:rsidRDefault="0027547E" w:rsidP="0027547E">
      <w:pPr>
        <w:spacing w:after="0" w:line="240" w:lineRule="auto"/>
        <w:ind w:firstLine="567"/>
        <w:jc w:val="both"/>
        <w:rPr>
          <w:rFonts w:ascii="Times New Roman" w:hAnsi="Times New Roman"/>
          <w:sz w:val="24"/>
          <w:szCs w:val="24"/>
        </w:rPr>
      </w:pPr>
      <w:r>
        <w:rPr>
          <w:rFonts w:ascii="Times New Roman" w:hAnsi="Times New Roman"/>
          <w:sz w:val="24"/>
          <w:szCs w:val="24"/>
        </w:rPr>
        <w:t>В компетенцию отдела входят:</w:t>
      </w:r>
    </w:p>
    <w:p w:rsidR="0027547E" w:rsidRDefault="0027547E" w:rsidP="0027547E">
      <w:pPr>
        <w:numPr>
          <w:ilvl w:val="0"/>
          <w:numId w:val="5"/>
        </w:numPr>
        <w:tabs>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обеспечение функционирования комплекса технических и программных средств автоматизации деятельности Партнерства; </w:t>
      </w:r>
    </w:p>
    <w:p w:rsidR="0027547E" w:rsidRDefault="0027547E" w:rsidP="0027547E">
      <w:pPr>
        <w:pStyle w:val="a5"/>
        <w:numPr>
          <w:ilvl w:val="0"/>
          <w:numId w:val="5"/>
        </w:numPr>
        <w:tabs>
          <w:tab w:val="num" w:pos="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централизованное ведение Реестра членов саморегулируемой организации, обеспечение доступа к информации о членах, обязательной к раскрытию в порядке и </w:t>
      </w:r>
      <w:r>
        <w:rPr>
          <w:rFonts w:ascii="Times New Roman" w:hAnsi="Times New Roman"/>
          <w:sz w:val="24"/>
          <w:szCs w:val="24"/>
        </w:rPr>
        <w:lastRenderedPageBreak/>
        <w:t>объеме, устанавливаемом в соответствии с законодательством РФ, а также выполнение мероприятий, предусмотренных законодательством  для обеспечения конфиденциальности;</w:t>
      </w:r>
    </w:p>
    <w:p w:rsidR="0027547E" w:rsidRDefault="0027547E" w:rsidP="0027547E">
      <w:pPr>
        <w:pStyle w:val="a5"/>
        <w:numPr>
          <w:ilvl w:val="0"/>
          <w:numId w:val="5"/>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своевременное уведомление федерального органа исполнительной власти (Минэнерго РФ) об изменении в уставных и других внутренних документах Партнерства, а также об изменении численности членов; </w:t>
      </w:r>
    </w:p>
    <w:p w:rsidR="0027547E" w:rsidRDefault="0027547E" w:rsidP="0027547E">
      <w:pPr>
        <w:pStyle w:val="a5"/>
        <w:numPr>
          <w:ilvl w:val="0"/>
          <w:numId w:val="5"/>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обеспечение направления в федеральный орган исполнительной власти (Минэнерго РФ) энергетических паспортов;</w:t>
      </w:r>
    </w:p>
    <w:p w:rsidR="0027547E" w:rsidRDefault="0027547E" w:rsidP="0027547E">
      <w:pPr>
        <w:numPr>
          <w:ilvl w:val="0"/>
          <w:numId w:val="6"/>
        </w:numPr>
        <w:tabs>
          <w:tab w:val="num"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контроль за соблюдением информационной безопасности в области информационных систем и телекоммуникаций; </w:t>
      </w:r>
    </w:p>
    <w:p w:rsidR="0027547E" w:rsidRDefault="0027547E" w:rsidP="0027547E">
      <w:pPr>
        <w:numPr>
          <w:ilvl w:val="0"/>
          <w:numId w:val="6"/>
        </w:numPr>
        <w:tabs>
          <w:tab w:val="num" w:pos="142"/>
        </w:tabs>
        <w:spacing w:after="0" w:line="240" w:lineRule="auto"/>
        <w:ind w:left="0" w:firstLine="567"/>
        <w:jc w:val="both"/>
        <w:rPr>
          <w:rFonts w:ascii="Times New Roman" w:hAnsi="Times New Roman"/>
          <w:sz w:val="24"/>
          <w:szCs w:val="24"/>
        </w:rPr>
      </w:pPr>
      <w:r>
        <w:rPr>
          <w:rFonts w:ascii="Times New Roman" w:hAnsi="Times New Roman"/>
          <w:sz w:val="24"/>
          <w:szCs w:val="24"/>
        </w:rPr>
        <w:t>оказание содействия в поддержании и насыщении сайта Партнерства;</w:t>
      </w:r>
    </w:p>
    <w:p w:rsidR="0027547E" w:rsidRDefault="0027547E" w:rsidP="0027547E">
      <w:pPr>
        <w:numPr>
          <w:ilvl w:val="0"/>
          <w:numId w:val="6"/>
        </w:numPr>
        <w:tabs>
          <w:tab w:val="num"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проработка перспективных направлений развития в сфере компьютеризации.</w:t>
      </w:r>
    </w:p>
    <w:p w:rsidR="0027547E" w:rsidRDefault="0027547E" w:rsidP="0027547E">
      <w:pPr>
        <w:spacing w:after="0" w:line="240" w:lineRule="auto"/>
        <w:ind w:left="567"/>
        <w:jc w:val="both"/>
        <w:rPr>
          <w:rFonts w:ascii="Times New Roman" w:hAnsi="Times New Roman"/>
          <w:sz w:val="24"/>
          <w:szCs w:val="24"/>
        </w:rPr>
      </w:pPr>
    </w:p>
    <w:p w:rsidR="0027547E" w:rsidRPr="009C70D3" w:rsidRDefault="0027547E" w:rsidP="0027547E">
      <w:pPr>
        <w:spacing w:after="0" w:line="240" w:lineRule="auto"/>
        <w:ind w:firstLine="567"/>
        <w:jc w:val="both"/>
        <w:rPr>
          <w:rFonts w:ascii="Times New Roman" w:hAnsi="Times New Roman"/>
          <w:sz w:val="24"/>
          <w:szCs w:val="24"/>
        </w:rPr>
      </w:pPr>
      <w:r w:rsidRPr="009C70D3">
        <w:rPr>
          <w:rFonts w:ascii="Times New Roman" w:hAnsi="Times New Roman"/>
          <w:sz w:val="24"/>
          <w:szCs w:val="24"/>
        </w:rPr>
        <w:t>В 201</w:t>
      </w:r>
      <w:r w:rsidR="007E5DEE" w:rsidRPr="009C70D3">
        <w:rPr>
          <w:rFonts w:ascii="Times New Roman" w:hAnsi="Times New Roman"/>
          <w:sz w:val="24"/>
          <w:szCs w:val="24"/>
        </w:rPr>
        <w:t>2</w:t>
      </w:r>
      <w:r w:rsidRPr="009C70D3">
        <w:rPr>
          <w:rFonts w:ascii="Times New Roman" w:hAnsi="Times New Roman"/>
          <w:sz w:val="24"/>
          <w:szCs w:val="24"/>
        </w:rPr>
        <w:t xml:space="preserve"> году в Реестр членов Партнерства были введены данные по </w:t>
      </w:r>
      <w:r w:rsidR="009C70D3" w:rsidRPr="009C70D3">
        <w:rPr>
          <w:rFonts w:ascii="Times New Roman" w:hAnsi="Times New Roman"/>
          <w:sz w:val="24"/>
          <w:szCs w:val="24"/>
        </w:rPr>
        <w:t>4</w:t>
      </w:r>
      <w:r w:rsidRPr="009C70D3">
        <w:rPr>
          <w:rFonts w:ascii="Times New Roman" w:hAnsi="Times New Roman"/>
          <w:sz w:val="24"/>
          <w:szCs w:val="24"/>
        </w:rPr>
        <w:t>1 организаци</w:t>
      </w:r>
      <w:r w:rsidR="00E063E5">
        <w:rPr>
          <w:rFonts w:ascii="Times New Roman" w:hAnsi="Times New Roman"/>
          <w:sz w:val="24"/>
          <w:szCs w:val="24"/>
        </w:rPr>
        <w:t>и</w:t>
      </w:r>
      <w:r w:rsidR="009C70D3" w:rsidRPr="009C70D3">
        <w:rPr>
          <w:rFonts w:ascii="Times New Roman" w:hAnsi="Times New Roman"/>
          <w:sz w:val="24"/>
          <w:szCs w:val="24"/>
        </w:rPr>
        <w:t>, из них 38 организаций были приняты в члены НП «БалтЭнергоЭффект», одна организация изменила наименование, одна организация сменила юридический адрес, одна организация оформила свидетельство о членстве на другого вида бланке</w:t>
      </w:r>
      <w:r w:rsidRPr="009C70D3">
        <w:rPr>
          <w:rFonts w:ascii="Times New Roman" w:hAnsi="Times New Roman"/>
          <w:sz w:val="24"/>
          <w:szCs w:val="24"/>
        </w:rPr>
        <w:t>.</w:t>
      </w:r>
    </w:p>
    <w:p w:rsidR="0027547E" w:rsidRDefault="0027547E" w:rsidP="0027547E">
      <w:pPr>
        <w:jc w:val="center"/>
      </w:pPr>
      <w:r>
        <w:rPr>
          <w:noProof/>
          <w:lang w:eastAsia="ru-RU"/>
        </w:rPr>
        <w:drawing>
          <wp:inline distT="0" distB="0" distL="0" distR="0">
            <wp:extent cx="4832985" cy="2722880"/>
            <wp:effectExtent l="0" t="0" r="24765" b="2032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328B" w:rsidRDefault="00E2328B" w:rsidP="0027547E">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            </w:t>
      </w:r>
    </w:p>
    <w:p w:rsidR="00E2328B" w:rsidRDefault="00E2328B" w:rsidP="0027547E">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               </w:t>
      </w:r>
    </w:p>
    <w:p w:rsidR="0027547E" w:rsidRDefault="00E2328B" w:rsidP="0027547E">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            </w:t>
      </w:r>
      <w:r w:rsidR="0027547E">
        <w:rPr>
          <w:rFonts w:ascii="Times New Roman" w:hAnsi="Times New Roman"/>
          <w:b/>
          <w:i/>
          <w:sz w:val="24"/>
          <w:szCs w:val="24"/>
        </w:rPr>
        <w:t xml:space="preserve">Региональный состав членов НП «БалтЭнергоЭффект» </w:t>
      </w:r>
    </w:p>
    <w:p w:rsidR="0027547E" w:rsidRDefault="0027547E" w:rsidP="0027547E">
      <w:pPr>
        <w:spacing w:after="0" w:line="240" w:lineRule="auto"/>
        <w:ind w:firstLine="567"/>
        <w:jc w:val="both"/>
        <w:rPr>
          <w:rFonts w:ascii="Times New Roman" w:hAnsi="Times New Roman"/>
          <w:b/>
          <w:i/>
          <w:sz w:val="24"/>
          <w:szCs w:val="24"/>
        </w:rPr>
      </w:pPr>
    </w:p>
    <w:p w:rsidR="0027547E" w:rsidRPr="00C6118C" w:rsidRDefault="0027547E" w:rsidP="0027547E">
      <w:pPr>
        <w:spacing w:after="0" w:line="240" w:lineRule="auto"/>
        <w:ind w:firstLine="567"/>
        <w:jc w:val="both"/>
        <w:rPr>
          <w:rFonts w:ascii="Times New Roman" w:hAnsi="Times New Roman"/>
          <w:sz w:val="24"/>
          <w:szCs w:val="24"/>
        </w:rPr>
      </w:pPr>
      <w:r w:rsidRPr="00C6118C">
        <w:rPr>
          <w:rFonts w:ascii="Times New Roman" w:hAnsi="Times New Roman"/>
          <w:sz w:val="24"/>
          <w:szCs w:val="24"/>
        </w:rPr>
        <w:t>В состав Партнерства входят 1</w:t>
      </w:r>
      <w:r w:rsidR="007E5DEE" w:rsidRPr="00C6118C">
        <w:rPr>
          <w:rFonts w:ascii="Times New Roman" w:hAnsi="Times New Roman"/>
          <w:sz w:val="24"/>
          <w:szCs w:val="24"/>
        </w:rPr>
        <w:t>3</w:t>
      </w:r>
      <w:r w:rsidR="00E82745" w:rsidRPr="00C6118C">
        <w:rPr>
          <w:rFonts w:ascii="Times New Roman" w:hAnsi="Times New Roman"/>
          <w:sz w:val="24"/>
          <w:szCs w:val="24"/>
        </w:rPr>
        <w:t>5</w:t>
      </w:r>
      <w:r w:rsidRPr="00C6118C">
        <w:rPr>
          <w:rFonts w:ascii="Times New Roman" w:hAnsi="Times New Roman"/>
          <w:sz w:val="24"/>
          <w:szCs w:val="24"/>
        </w:rPr>
        <w:t xml:space="preserve">  компаний - представителей 2</w:t>
      </w:r>
      <w:r w:rsidR="00B55F75" w:rsidRPr="00C6118C">
        <w:rPr>
          <w:rFonts w:ascii="Times New Roman" w:hAnsi="Times New Roman"/>
          <w:sz w:val="24"/>
          <w:szCs w:val="24"/>
        </w:rPr>
        <w:t>1</w:t>
      </w:r>
      <w:r w:rsidRPr="00C6118C">
        <w:rPr>
          <w:rFonts w:ascii="Times New Roman" w:hAnsi="Times New Roman"/>
          <w:sz w:val="24"/>
          <w:szCs w:val="24"/>
        </w:rPr>
        <w:t xml:space="preserve"> субъектов Российской Федерации</w:t>
      </w:r>
      <w:r w:rsidR="00B55F75" w:rsidRPr="00C6118C">
        <w:rPr>
          <w:rFonts w:ascii="Times New Roman" w:hAnsi="Times New Roman"/>
          <w:sz w:val="24"/>
          <w:szCs w:val="24"/>
        </w:rPr>
        <w:t xml:space="preserve"> и 2 организаций из Белоруссии. </w:t>
      </w:r>
      <w:r w:rsidRPr="00C6118C">
        <w:rPr>
          <w:rFonts w:ascii="Times New Roman" w:hAnsi="Times New Roman"/>
          <w:sz w:val="24"/>
          <w:szCs w:val="24"/>
        </w:rPr>
        <w:t>Наибольшее представительство имеют организации из Санкт-Петербурга (54</w:t>
      </w:r>
      <w:r w:rsidR="00C6118C">
        <w:rPr>
          <w:rFonts w:ascii="Times New Roman" w:hAnsi="Times New Roman"/>
          <w:sz w:val="24"/>
          <w:szCs w:val="24"/>
        </w:rPr>
        <w:t xml:space="preserve"> организации</w:t>
      </w:r>
      <w:r w:rsidRPr="00C6118C">
        <w:rPr>
          <w:rFonts w:ascii="Times New Roman" w:hAnsi="Times New Roman"/>
          <w:sz w:val="24"/>
          <w:szCs w:val="24"/>
        </w:rPr>
        <w:t xml:space="preserve">), </w:t>
      </w:r>
      <w:r w:rsidR="00B55F75" w:rsidRPr="00C6118C">
        <w:rPr>
          <w:rFonts w:ascii="Times New Roman" w:hAnsi="Times New Roman"/>
          <w:sz w:val="24"/>
          <w:szCs w:val="24"/>
        </w:rPr>
        <w:t>Ростовской области (13</w:t>
      </w:r>
      <w:r w:rsidR="00C6118C">
        <w:rPr>
          <w:rFonts w:ascii="Times New Roman" w:hAnsi="Times New Roman"/>
          <w:sz w:val="24"/>
          <w:szCs w:val="24"/>
        </w:rPr>
        <w:t xml:space="preserve"> организаций</w:t>
      </w:r>
      <w:r w:rsidR="00B55F75" w:rsidRPr="00C6118C">
        <w:rPr>
          <w:rFonts w:ascii="Times New Roman" w:hAnsi="Times New Roman"/>
          <w:sz w:val="24"/>
          <w:szCs w:val="24"/>
        </w:rPr>
        <w:t>), Калининградской области (9</w:t>
      </w:r>
      <w:r w:rsidR="00C6118C">
        <w:rPr>
          <w:rFonts w:ascii="Times New Roman" w:hAnsi="Times New Roman"/>
          <w:sz w:val="24"/>
          <w:szCs w:val="24"/>
        </w:rPr>
        <w:t xml:space="preserve"> организаций</w:t>
      </w:r>
      <w:r w:rsidR="00B55F75" w:rsidRPr="00C6118C">
        <w:rPr>
          <w:rFonts w:ascii="Times New Roman" w:hAnsi="Times New Roman"/>
          <w:sz w:val="24"/>
          <w:szCs w:val="24"/>
        </w:rPr>
        <w:t xml:space="preserve">), Ставропольского края (8 организаций),  </w:t>
      </w:r>
      <w:r w:rsidRPr="00C6118C">
        <w:rPr>
          <w:rFonts w:ascii="Times New Roman" w:hAnsi="Times New Roman"/>
          <w:sz w:val="24"/>
          <w:szCs w:val="24"/>
        </w:rPr>
        <w:t>Ленинградской</w:t>
      </w:r>
      <w:r w:rsidR="00B55F75" w:rsidRPr="00C6118C">
        <w:rPr>
          <w:rFonts w:ascii="Times New Roman" w:hAnsi="Times New Roman"/>
          <w:sz w:val="24"/>
          <w:szCs w:val="24"/>
        </w:rPr>
        <w:t xml:space="preserve"> области</w:t>
      </w:r>
      <w:r w:rsidRPr="00C6118C">
        <w:rPr>
          <w:rFonts w:ascii="Times New Roman" w:hAnsi="Times New Roman"/>
          <w:sz w:val="24"/>
          <w:szCs w:val="24"/>
        </w:rPr>
        <w:t xml:space="preserve"> </w:t>
      </w:r>
      <w:r w:rsidR="00B55F75" w:rsidRPr="00C6118C">
        <w:rPr>
          <w:rFonts w:ascii="Times New Roman" w:hAnsi="Times New Roman"/>
          <w:sz w:val="24"/>
          <w:szCs w:val="24"/>
        </w:rPr>
        <w:t xml:space="preserve">(7 организаций), </w:t>
      </w:r>
      <w:r w:rsidRPr="00C6118C">
        <w:rPr>
          <w:rFonts w:ascii="Times New Roman" w:hAnsi="Times New Roman"/>
          <w:sz w:val="24"/>
          <w:szCs w:val="24"/>
        </w:rPr>
        <w:t>Мурманской</w:t>
      </w:r>
      <w:r w:rsidR="00B55F75" w:rsidRPr="00C6118C">
        <w:rPr>
          <w:rFonts w:ascii="Times New Roman" w:hAnsi="Times New Roman"/>
          <w:sz w:val="24"/>
          <w:szCs w:val="24"/>
        </w:rPr>
        <w:t xml:space="preserve"> и Псковской  областях (по 6 организаций), Архангельской области (5 организаций)</w:t>
      </w:r>
      <w:r w:rsidR="00C6118C" w:rsidRPr="00C6118C">
        <w:rPr>
          <w:rFonts w:ascii="Times New Roman" w:hAnsi="Times New Roman"/>
          <w:sz w:val="24"/>
          <w:szCs w:val="24"/>
        </w:rPr>
        <w:t>, Краснодарского края (4 организации).</w:t>
      </w:r>
      <w:r w:rsidRPr="00C6118C">
        <w:rPr>
          <w:rFonts w:ascii="Times New Roman" w:hAnsi="Times New Roman"/>
          <w:sz w:val="24"/>
          <w:szCs w:val="24"/>
        </w:rPr>
        <w:t xml:space="preserve"> </w:t>
      </w:r>
    </w:p>
    <w:p w:rsidR="00B55F75" w:rsidRDefault="00B55F75" w:rsidP="0027547E">
      <w:pPr>
        <w:spacing w:after="0" w:line="240" w:lineRule="auto"/>
        <w:ind w:firstLine="567"/>
        <w:jc w:val="both"/>
        <w:rPr>
          <w:rFonts w:ascii="Times New Roman" w:hAnsi="Times New Roman"/>
          <w:color w:val="FF0000"/>
          <w:sz w:val="24"/>
          <w:szCs w:val="24"/>
        </w:rPr>
      </w:pPr>
    </w:p>
    <w:p w:rsidR="00B55F75" w:rsidRDefault="00B55F75" w:rsidP="0027547E">
      <w:pPr>
        <w:spacing w:after="0" w:line="240" w:lineRule="auto"/>
        <w:ind w:firstLine="567"/>
        <w:jc w:val="both"/>
        <w:rPr>
          <w:rFonts w:ascii="Times New Roman" w:hAnsi="Times New Roman"/>
          <w:color w:val="FF0000"/>
          <w:sz w:val="24"/>
          <w:szCs w:val="24"/>
        </w:rPr>
      </w:pPr>
    </w:p>
    <w:p w:rsidR="0027547E" w:rsidRDefault="0027547E" w:rsidP="0027547E">
      <w:pPr>
        <w:spacing w:after="0" w:line="240" w:lineRule="auto"/>
        <w:jc w:val="both"/>
        <w:rPr>
          <w:rFonts w:ascii="Times New Roman" w:hAnsi="Times New Roman"/>
          <w:sz w:val="24"/>
          <w:szCs w:val="24"/>
        </w:rPr>
      </w:pPr>
      <w:r>
        <w:rPr>
          <w:noProof/>
          <w:lang w:eastAsia="ru-RU"/>
        </w:rPr>
        <w:lastRenderedPageBreak/>
        <w:drawing>
          <wp:inline distT="0" distB="0" distL="0" distR="0">
            <wp:extent cx="5486400" cy="3758084"/>
            <wp:effectExtent l="0" t="0" r="19050" b="1397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547E" w:rsidRDefault="0027547E" w:rsidP="0027547E">
      <w:pPr>
        <w:spacing w:after="0" w:line="240" w:lineRule="auto"/>
        <w:ind w:firstLine="567"/>
        <w:jc w:val="both"/>
        <w:rPr>
          <w:rFonts w:ascii="Times New Roman" w:hAnsi="Times New Roman"/>
          <w:sz w:val="24"/>
          <w:szCs w:val="24"/>
        </w:rPr>
      </w:pPr>
    </w:p>
    <w:p w:rsidR="0027547E" w:rsidRPr="00610C1A" w:rsidRDefault="0027547E" w:rsidP="0027547E">
      <w:pPr>
        <w:spacing w:after="0" w:line="240" w:lineRule="auto"/>
        <w:ind w:firstLine="567"/>
        <w:jc w:val="both"/>
        <w:rPr>
          <w:rFonts w:ascii="Times New Roman" w:hAnsi="Times New Roman"/>
          <w:sz w:val="24"/>
          <w:szCs w:val="24"/>
        </w:rPr>
      </w:pPr>
      <w:r w:rsidRPr="00610C1A">
        <w:rPr>
          <w:rFonts w:ascii="Times New Roman" w:hAnsi="Times New Roman"/>
          <w:sz w:val="24"/>
          <w:szCs w:val="24"/>
        </w:rPr>
        <w:t>В 201</w:t>
      </w:r>
      <w:r w:rsidR="007E5DEE" w:rsidRPr="00610C1A">
        <w:rPr>
          <w:rFonts w:ascii="Times New Roman" w:hAnsi="Times New Roman"/>
          <w:sz w:val="24"/>
          <w:szCs w:val="24"/>
        </w:rPr>
        <w:t>2</w:t>
      </w:r>
      <w:r w:rsidRPr="00610C1A">
        <w:rPr>
          <w:rFonts w:ascii="Times New Roman" w:hAnsi="Times New Roman"/>
          <w:sz w:val="24"/>
          <w:szCs w:val="24"/>
        </w:rPr>
        <w:t xml:space="preserve"> году членам Партнерства выдано </w:t>
      </w:r>
      <w:r w:rsidR="00610C1A">
        <w:rPr>
          <w:rFonts w:ascii="Times New Roman" w:hAnsi="Times New Roman"/>
          <w:sz w:val="24"/>
          <w:szCs w:val="24"/>
        </w:rPr>
        <w:t>38</w:t>
      </w:r>
      <w:r w:rsidRPr="00610C1A">
        <w:rPr>
          <w:rFonts w:ascii="Times New Roman" w:hAnsi="Times New Roman"/>
          <w:sz w:val="24"/>
          <w:szCs w:val="24"/>
        </w:rPr>
        <w:t xml:space="preserve"> Свидетельств о членстве в СРО.</w:t>
      </w:r>
    </w:p>
    <w:p w:rsidR="00CD2FB3" w:rsidRDefault="00CD2FB3" w:rsidP="00CD2FB3">
      <w:pPr>
        <w:spacing w:after="0" w:line="240" w:lineRule="auto"/>
        <w:jc w:val="both"/>
        <w:rPr>
          <w:rFonts w:ascii="Times New Roman" w:hAnsi="Times New Roman"/>
          <w:b/>
          <w:sz w:val="24"/>
          <w:szCs w:val="24"/>
        </w:rPr>
      </w:pPr>
      <w:r>
        <w:rPr>
          <w:rFonts w:ascii="Times New Roman" w:hAnsi="Times New Roman"/>
          <w:b/>
          <w:sz w:val="24"/>
          <w:szCs w:val="24"/>
        </w:rPr>
        <w:t>Бухгалтерия</w:t>
      </w:r>
    </w:p>
    <w:p w:rsidR="00CD2FB3" w:rsidRDefault="00CD2FB3" w:rsidP="00CD2FB3">
      <w:pPr>
        <w:spacing w:after="0" w:line="240" w:lineRule="auto"/>
        <w:jc w:val="both"/>
        <w:rPr>
          <w:rFonts w:ascii="Times New Roman" w:hAnsi="Times New Roman"/>
          <w:b/>
          <w:sz w:val="24"/>
          <w:szCs w:val="24"/>
        </w:rPr>
      </w:pPr>
    </w:p>
    <w:p w:rsidR="00CD2FB3" w:rsidRDefault="00CD2FB3" w:rsidP="00CD2FB3">
      <w:pPr>
        <w:spacing w:after="0" w:line="240" w:lineRule="auto"/>
        <w:ind w:firstLine="567"/>
        <w:jc w:val="both"/>
        <w:rPr>
          <w:rFonts w:ascii="Times New Roman" w:hAnsi="Times New Roman"/>
          <w:sz w:val="24"/>
          <w:szCs w:val="24"/>
        </w:rPr>
      </w:pPr>
      <w:r>
        <w:rPr>
          <w:rFonts w:ascii="Times New Roman" w:hAnsi="Times New Roman"/>
          <w:sz w:val="24"/>
          <w:szCs w:val="24"/>
        </w:rPr>
        <w:t>В задачи бухгалтерии входит учет поступающих доходов, в том числе членских и вступительных взносов, финансирование и учет финансирования расходной части в соответствии с утвержденной сметой, организация и ведение бухгалтерского и налогового учета в соответствии с требованиями законодательства РФ.</w:t>
      </w:r>
    </w:p>
    <w:p w:rsidR="00CD2FB3" w:rsidRPr="00FE4AA9" w:rsidRDefault="00CD2FB3" w:rsidP="00CD2FB3">
      <w:pPr>
        <w:tabs>
          <w:tab w:val="left" w:pos="567"/>
        </w:tabs>
        <w:spacing w:after="0" w:line="240" w:lineRule="auto"/>
        <w:ind w:firstLine="539"/>
        <w:jc w:val="both"/>
        <w:rPr>
          <w:rFonts w:ascii="Times New Roman" w:hAnsi="Times New Roman"/>
          <w:sz w:val="24"/>
          <w:szCs w:val="24"/>
        </w:rPr>
      </w:pPr>
      <w:r w:rsidRPr="00FE4AA9">
        <w:rPr>
          <w:rFonts w:ascii="Times New Roman" w:hAnsi="Times New Roman"/>
          <w:sz w:val="24"/>
          <w:szCs w:val="24"/>
        </w:rPr>
        <w:t xml:space="preserve">Основными задачами бухгалтерского учета </w:t>
      </w:r>
      <w:r w:rsidR="00610C1A">
        <w:rPr>
          <w:rFonts w:ascii="Times New Roman" w:hAnsi="Times New Roman"/>
          <w:sz w:val="24"/>
          <w:szCs w:val="24"/>
        </w:rPr>
        <w:t>П</w:t>
      </w:r>
      <w:r w:rsidRPr="00FE4AA9">
        <w:rPr>
          <w:rFonts w:ascii="Times New Roman" w:hAnsi="Times New Roman"/>
          <w:sz w:val="24"/>
          <w:szCs w:val="24"/>
        </w:rPr>
        <w:t xml:space="preserve">артнерства являются: </w:t>
      </w:r>
    </w:p>
    <w:p w:rsidR="00CD2FB3" w:rsidRPr="00FE4AA9" w:rsidRDefault="00CD2FB3" w:rsidP="00CD2FB3">
      <w:pPr>
        <w:widowControl w:val="0"/>
        <w:spacing w:after="0" w:line="240" w:lineRule="auto"/>
        <w:ind w:firstLine="720"/>
        <w:jc w:val="both"/>
        <w:rPr>
          <w:rFonts w:ascii="Times New Roman" w:hAnsi="Times New Roman"/>
          <w:sz w:val="24"/>
          <w:szCs w:val="24"/>
        </w:rPr>
      </w:pPr>
      <w:r w:rsidRPr="00FE4AA9">
        <w:rPr>
          <w:rFonts w:ascii="Times New Roman" w:hAnsi="Times New Roman"/>
          <w:sz w:val="24"/>
          <w:szCs w:val="24"/>
        </w:rPr>
        <w:t>1. формирование полной и достоверной информации о деятельности организации и ее имущественном положении, используемой внутренними и внешними пользователями бухгалтерской информации;</w:t>
      </w:r>
    </w:p>
    <w:p w:rsidR="00CD2FB3" w:rsidRPr="00FE4AA9" w:rsidRDefault="00CD2FB3" w:rsidP="00CD2FB3">
      <w:pPr>
        <w:widowControl w:val="0"/>
        <w:spacing w:after="0" w:line="240" w:lineRule="auto"/>
        <w:ind w:firstLine="720"/>
        <w:jc w:val="both"/>
        <w:rPr>
          <w:rFonts w:ascii="Times New Roman" w:hAnsi="Times New Roman"/>
          <w:sz w:val="24"/>
          <w:szCs w:val="24"/>
        </w:rPr>
      </w:pPr>
      <w:r w:rsidRPr="00FE4AA9">
        <w:rPr>
          <w:rFonts w:ascii="Times New Roman" w:hAnsi="Times New Roman"/>
          <w:sz w:val="24"/>
          <w:szCs w:val="24"/>
        </w:rPr>
        <w:t>2. обеспечение информацией, необходимой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результатов в соответствии с утвержденными нормами, нормативами и сметами;</w:t>
      </w:r>
    </w:p>
    <w:p w:rsidR="00CD2FB3" w:rsidRPr="00FE4AA9" w:rsidRDefault="00CD2FB3" w:rsidP="00CD2FB3">
      <w:pPr>
        <w:widowControl w:val="0"/>
        <w:spacing w:after="0" w:line="240" w:lineRule="auto"/>
        <w:ind w:firstLine="720"/>
        <w:jc w:val="both"/>
        <w:rPr>
          <w:rFonts w:ascii="Times New Roman" w:hAnsi="Times New Roman"/>
          <w:sz w:val="24"/>
          <w:szCs w:val="24"/>
        </w:rPr>
      </w:pPr>
      <w:r w:rsidRPr="00FE4AA9">
        <w:rPr>
          <w:rFonts w:ascii="Times New Roman" w:hAnsi="Times New Roman"/>
          <w:sz w:val="24"/>
          <w:szCs w:val="24"/>
        </w:rPr>
        <w:t>3. предотвращение отрицательных результатов хозяйственной деятельности и выявление внутрихозяйственных резервов, обеспечение ее финансовой устойчивости.</w:t>
      </w:r>
    </w:p>
    <w:p w:rsidR="00CD2FB3" w:rsidRPr="00FE4AA9" w:rsidRDefault="00CD2FB3" w:rsidP="00CD2FB3">
      <w:pPr>
        <w:widowControl w:val="0"/>
        <w:spacing w:after="0" w:line="240" w:lineRule="auto"/>
        <w:ind w:firstLine="567"/>
        <w:jc w:val="both"/>
        <w:rPr>
          <w:rFonts w:ascii="Times New Roman" w:hAnsi="Times New Roman"/>
          <w:sz w:val="24"/>
          <w:szCs w:val="24"/>
        </w:rPr>
      </w:pPr>
      <w:r w:rsidRPr="00FE4AA9">
        <w:rPr>
          <w:rFonts w:ascii="Times New Roman" w:hAnsi="Times New Roman"/>
          <w:sz w:val="24"/>
          <w:szCs w:val="24"/>
        </w:rPr>
        <w:t>Организация ведет бухгалтерский учет активов, обязательств и хозяйственных операций способом двойной записи в соответствии с принятым Рабочим планом счетов бухгалтерского учета.</w:t>
      </w:r>
    </w:p>
    <w:p w:rsidR="00CD2FB3" w:rsidRPr="00FE4AA9" w:rsidRDefault="00CD2FB3" w:rsidP="00CD2FB3">
      <w:pPr>
        <w:pStyle w:val="aa"/>
        <w:ind w:firstLine="567"/>
        <w:rPr>
          <w:szCs w:val="24"/>
        </w:rPr>
      </w:pPr>
      <w:r w:rsidRPr="00FE4AA9">
        <w:rPr>
          <w:szCs w:val="24"/>
        </w:rPr>
        <w:t xml:space="preserve">Документирование хозяйственных операций и документооборот в </w:t>
      </w:r>
      <w:r w:rsidR="00610C1A">
        <w:rPr>
          <w:szCs w:val="24"/>
        </w:rPr>
        <w:t>П</w:t>
      </w:r>
      <w:r w:rsidRPr="00FE4AA9">
        <w:rPr>
          <w:szCs w:val="24"/>
        </w:rPr>
        <w:t xml:space="preserve">артнерстве осуществляется на основании нормативных документов. Все хозяйственные операции, проводимые </w:t>
      </w:r>
      <w:r>
        <w:rPr>
          <w:szCs w:val="24"/>
        </w:rPr>
        <w:t>п</w:t>
      </w:r>
      <w:r w:rsidRPr="00FE4AA9">
        <w:rPr>
          <w:szCs w:val="24"/>
        </w:rPr>
        <w:t>артнерством, оформляются оправдательными документами, на основании которых ведется бухгалтерский учет.</w:t>
      </w:r>
    </w:p>
    <w:p w:rsidR="00CD2FB3" w:rsidRDefault="00CD2FB3" w:rsidP="00CD2FB3">
      <w:pPr>
        <w:widowControl w:val="0"/>
        <w:spacing w:after="0" w:line="240" w:lineRule="auto"/>
        <w:ind w:firstLine="567"/>
        <w:jc w:val="both"/>
        <w:rPr>
          <w:rFonts w:ascii="Times New Roman" w:hAnsi="Times New Roman"/>
          <w:sz w:val="24"/>
          <w:szCs w:val="24"/>
        </w:rPr>
      </w:pPr>
      <w:r w:rsidRPr="00FE4AA9">
        <w:rPr>
          <w:rFonts w:ascii="Times New Roman" w:hAnsi="Times New Roman"/>
          <w:sz w:val="24"/>
          <w:szCs w:val="24"/>
        </w:rPr>
        <w:t xml:space="preserve">Членские и вступительные взносы являются одними из основных источников формирования имущества и финансовой основы деятельности </w:t>
      </w:r>
      <w:r>
        <w:rPr>
          <w:rFonts w:ascii="Times New Roman" w:hAnsi="Times New Roman"/>
          <w:sz w:val="24"/>
          <w:szCs w:val="24"/>
        </w:rPr>
        <w:t>п</w:t>
      </w:r>
      <w:r w:rsidRPr="00FE4AA9">
        <w:rPr>
          <w:rFonts w:ascii="Times New Roman" w:hAnsi="Times New Roman"/>
          <w:sz w:val="24"/>
          <w:szCs w:val="24"/>
        </w:rPr>
        <w:t>артнерства</w:t>
      </w:r>
      <w:r>
        <w:rPr>
          <w:rFonts w:ascii="Times New Roman" w:hAnsi="Times New Roman"/>
          <w:sz w:val="24"/>
          <w:szCs w:val="24"/>
        </w:rPr>
        <w:t>,</w:t>
      </w:r>
      <w:r w:rsidRPr="00FE4AA9">
        <w:rPr>
          <w:rFonts w:ascii="Times New Roman" w:hAnsi="Times New Roman"/>
          <w:sz w:val="24"/>
          <w:szCs w:val="24"/>
        </w:rPr>
        <w:t xml:space="preserve"> направленной на достижение целей его создания в соответствии с Уставом </w:t>
      </w:r>
      <w:r w:rsidR="00610C1A">
        <w:rPr>
          <w:rFonts w:ascii="Times New Roman" w:hAnsi="Times New Roman"/>
          <w:sz w:val="24"/>
          <w:szCs w:val="24"/>
        </w:rPr>
        <w:t>П</w:t>
      </w:r>
      <w:r w:rsidRPr="00FE4AA9">
        <w:rPr>
          <w:rFonts w:ascii="Times New Roman" w:hAnsi="Times New Roman"/>
          <w:sz w:val="24"/>
          <w:szCs w:val="24"/>
        </w:rPr>
        <w:t xml:space="preserve">артнерства. </w:t>
      </w:r>
    </w:p>
    <w:p w:rsidR="00E2328B" w:rsidRDefault="00E2328B" w:rsidP="00CD2FB3">
      <w:pPr>
        <w:spacing w:after="0" w:line="240" w:lineRule="auto"/>
        <w:ind w:firstLine="708"/>
        <w:jc w:val="center"/>
        <w:rPr>
          <w:rFonts w:ascii="Times New Roman" w:hAnsi="Times New Roman"/>
          <w:b/>
          <w:sz w:val="24"/>
          <w:szCs w:val="24"/>
        </w:rPr>
      </w:pPr>
    </w:p>
    <w:p w:rsidR="00E2328B" w:rsidRDefault="00E2328B" w:rsidP="00CD2FB3">
      <w:pPr>
        <w:spacing w:after="0" w:line="240" w:lineRule="auto"/>
        <w:ind w:firstLine="708"/>
        <w:jc w:val="center"/>
        <w:rPr>
          <w:rFonts w:ascii="Times New Roman" w:hAnsi="Times New Roman"/>
          <w:b/>
          <w:sz w:val="24"/>
          <w:szCs w:val="24"/>
        </w:rPr>
      </w:pPr>
    </w:p>
    <w:p w:rsidR="00CD2FB3" w:rsidRPr="00F11D06" w:rsidRDefault="00CD2FB3" w:rsidP="00CD2FB3">
      <w:pPr>
        <w:spacing w:after="0" w:line="240" w:lineRule="auto"/>
        <w:ind w:firstLine="708"/>
        <w:jc w:val="center"/>
        <w:rPr>
          <w:rFonts w:ascii="Times New Roman" w:hAnsi="Times New Roman"/>
          <w:b/>
          <w:sz w:val="24"/>
          <w:szCs w:val="24"/>
        </w:rPr>
      </w:pPr>
      <w:r w:rsidRPr="00F11D06">
        <w:rPr>
          <w:rFonts w:ascii="Times New Roman" w:hAnsi="Times New Roman"/>
          <w:b/>
          <w:sz w:val="24"/>
          <w:szCs w:val="24"/>
        </w:rPr>
        <w:t xml:space="preserve">Диаграмма поступления членских и вступительных взносов и задолженности </w:t>
      </w:r>
      <w:r>
        <w:rPr>
          <w:rFonts w:ascii="Times New Roman" w:hAnsi="Times New Roman"/>
          <w:b/>
          <w:sz w:val="24"/>
          <w:szCs w:val="24"/>
        </w:rPr>
        <w:t xml:space="preserve">         (за исключением выбывших организаций) по членским и вступительным взносам </w:t>
      </w:r>
      <w:r w:rsidRPr="00F11D06">
        <w:rPr>
          <w:rFonts w:ascii="Times New Roman" w:hAnsi="Times New Roman"/>
          <w:b/>
          <w:sz w:val="24"/>
          <w:szCs w:val="24"/>
        </w:rPr>
        <w:t xml:space="preserve">за 2010 </w:t>
      </w:r>
      <w:r>
        <w:rPr>
          <w:rFonts w:ascii="Times New Roman" w:hAnsi="Times New Roman"/>
          <w:b/>
          <w:sz w:val="24"/>
          <w:szCs w:val="24"/>
        </w:rPr>
        <w:t>–</w:t>
      </w:r>
      <w:r w:rsidRPr="00F11D06">
        <w:rPr>
          <w:rFonts w:ascii="Times New Roman" w:hAnsi="Times New Roman"/>
          <w:b/>
          <w:sz w:val="24"/>
          <w:szCs w:val="24"/>
        </w:rPr>
        <w:t xml:space="preserve"> 2011</w:t>
      </w:r>
      <w:r>
        <w:rPr>
          <w:rFonts w:ascii="Times New Roman" w:hAnsi="Times New Roman"/>
          <w:b/>
          <w:sz w:val="24"/>
          <w:szCs w:val="24"/>
        </w:rPr>
        <w:t>-2012</w:t>
      </w:r>
      <w:r w:rsidRPr="00F11D06">
        <w:rPr>
          <w:rFonts w:ascii="Times New Roman" w:hAnsi="Times New Roman"/>
          <w:b/>
          <w:sz w:val="24"/>
          <w:szCs w:val="24"/>
        </w:rPr>
        <w:t xml:space="preserve"> годы (в тыс. руб.)</w:t>
      </w:r>
    </w:p>
    <w:p w:rsidR="00CD2FB3" w:rsidRPr="00FE4AA9" w:rsidRDefault="00CD2FB3" w:rsidP="00CD2FB3">
      <w:pPr>
        <w:spacing w:after="0" w:line="240" w:lineRule="auto"/>
        <w:ind w:firstLine="708"/>
        <w:rPr>
          <w:rFonts w:ascii="Times New Roman" w:hAnsi="Times New Roman"/>
          <w:sz w:val="24"/>
          <w:szCs w:val="24"/>
        </w:rPr>
      </w:pPr>
    </w:p>
    <w:p w:rsidR="00CD2FB3" w:rsidRPr="00FE4AA9" w:rsidRDefault="00CD2FB3" w:rsidP="00CD2FB3">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677535" cy="211010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2FB3" w:rsidRDefault="00CD2FB3" w:rsidP="00CD2FB3">
      <w:pPr>
        <w:spacing w:after="0" w:line="240" w:lineRule="auto"/>
        <w:ind w:firstLine="708"/>
        <w:rPr>
          <w:rFonts w:ascii="Times New Roman" w:hAnsi="Times New Roman"/>
          <w:sz w:val="24"/>
          <w:szCs w:val="24"/>
        </w:rPr>
      </w:pPr>
    </w:p>
    <w:p w:rsidR="00F71430" w:rsidRDefault="00CD2FB3" w:rsidP="00F71430">
      <w:pPr>
        <w:spacing w:after="0" w:line="240" w:lineRule="auto"/>
        <w:ind w:firstLine="708"/>
        <w:jc w:val="both"/>
        <w:rPr>
          <w:rFonts w:ascii="Times New Roman" w:hAnsi="Times New Roman"/>
          <w:sz w:val="24"/>
          <w:szCs w:val="24"/>
        </w:rPr>
      </w:pPr>
      <w:r w:rsidRPr="00FE4AA9">
        <w:rPr>
          <w:rFonts w:ascii="Times New Roman" w:hAnsi="Times New Roman"/>
          <w:sz w:val="24"/>
          <w:szCs w:val="24"/>
        </w:rPr>
        <w:t xml:space="preserve">Из диаграммы видно, что задолженность </w:t>
      </w:r>
      <w:r>
        <w:rPr>
          <w:rFonts w:ascii="Times New Roman" w:hAnsi="Times New Roman"/>
          <w:sz w:val="24"/>
          <w:szCs w:val="24"/>
        </w:rPr>
        <w:t>к концу 2012 года постепенно уменьшается, наибольшее поступление членских взносов приходится на начало  года.</w:t>
      </w:r>
    </w:p>
    <w:p w:rsidR="00F71430" w:rsidRDefault="00F71430" w:rsidP="00F71430">
      <w:pPr>
        <w:spacing w:after="0" w:line="240" w:lineRule="auto"/>
        <w:ind w:firstLine="708"/>
        <w:jc w:val="both"/>
        <w:rPr>
          <w:rFonts w:ascii="Times New Roman" w:hAnsi="Times New Roman"/>
          <w:sz w:val="24"/>
          <w:szCs w:val="24"/>
        </w:rPr>
      </w:pPr>
    </w:p>
    <w:p w:rsidR="00F71430" w:rsidRDefault="00F71430" w:rsidP="00F71430">
      <w:pPr>
        <w:spacing w:after="0" w:line="240" w:lineRule="auto"/>
        <w:ind w:firstLine="708"/>
        <w:jc w:val="both"/>
        <w:rPr>
          <w:rFonts w:ascii="Times New Roman" w:hAnsi="Times New Roman"/>
          <w:sz w:val="24"/>
          <w:szCs w:val="24"/>
        </w:rPr>
      </w:pPr>
    </w:p>
    <w:p w:rsidR="00E2328B" w:rsidRDefault="00E2328B" w:rsidP="00F71430">
      <w:pPr>
        <w:spacing w:after="0" w:line="240" w:lineRule="auto"/>
        <w:ind w:firstLine="708"/>
        <w:jc w:val="both"/>
        <w:rPr>
          <w:rFonts w:ascii="Times New Roman" w:hAnsi="Times New Roman"/>
          <w:b/>
          <w:sz w:val="24"/>
          <w:szCs w:val="24"/>
        </w:rPr>
      </w:pPr>
    </w:p>
    <w:p w:rsidR="00E2328B" w:rsidRDefault="00E2328B" w:rsidP="00F71430">
      <w:pPr>
        <w:spacing w:after="0" w:line="240" w:lineRule="auto"/>
        <w:ind w:firstLine="708"/>
        <w:jc w:val="both"/>
        <w:rPr>
          <w:rFonts w:ascii="Times New Roman" w:hAnsi="Times New Roman"/>
          <w:b/>
          <w:sz w:val="24"/>
          <w:szCs w:val="24"/>
        </w:rPr>
      </w:pPr>
    </w:p>
    <w:p w:rsidR="00CD2FB3" w:rsidRPr="00F11D06" w:rsidRDefault="00CD2FB3" w:rsidP="00F71430">
      <w:pPr>
        <w:spacing w:after="0" w:line="240" w:lineRule="auto"/>
        <w:ind w:firstLine="708"/>
        <w:jc w:val="both"/>
        <w:rPr>
          <w:rFonts w:ascii="Times New Roman" w:hAnsi="Times New Roman"/>
          <w:b/>
          <w:sz w:val="24"/>
          <w:szCs w:val="24"/>
        </w:rPr>
      </w:pPr>
      <w:r w:rsidRPr="00F11D06">
        <w:rPr>
          <w:rFonts w:ascii="Times New Roman" w:hAnsi="Times New Roman"/>
          <w:b/>
          <w:sz w:val="24"/>
          <w:szCs w:val="24"/>
        </w:rPr>
        <w:t>Диаграмма поступления членских и вступительных взносов за 2010-2011</w:t>
      </w:r>
      <w:r>
        <w:rPr>
          <w:rFonts w:ascii="Times New Roman" w:hAnsi="Times New Roman"/>
          <w:b/>
          <w:sz w:val="24"/>
          <w:szCs w:val="24"/>
        </w:rPr>
        <w:t>-2012</w:t>
      </w:r>
      <w:r w:rsidRPr="00F11D06">
        <w:rPr>
          <w:rFonts w:ascii="Times New Roman" w:hAnsi="Times New Roman"/>
          <w:b/>
          <w:sz w:val="24"/>
          <w:szCs w:val="24"/>
        </w:rPr>
        <w:t xml:space="preserve"> годы </w:t>
      </w:r>
      <w:r>
        <w:rPr>
          <w:rFonts w:ascii="Times New Roman" w:hAnsi="Times New Roman"/>
          <w:b/>
          <w:sz w:val="24"/>
          <w:szCs w:val="24"/>
        </w:rPr>
        <w:t xml:space="preserve">   </w:t>
      </w:r>
      <w:r w:rsidRPr="00F11D06">
        <w:rPr>
          <w:rFonts w:ascii="Times New Roman" w:hAnsi="Times New Roman"/>
          <w:b/>
          <w:sz w:val="24"/>
          <w:szCs w:val="24"/>
        </w:rPr>
        <w:t>в 201</w:t>
      </w:r>
      <w:r>
        <w:rPr>
          <w:rFonts w:ascii="Times New Roman" w:hAnsi="Times New Roman"/>
          <w:b/>
          <w:sz w:val="24"/>
          <w:szCs w:val="24"/>
        </w:rPr>
        <w:t>2</w:t>
      </w:r>
      <w:r w:rsidRPr="00F11D06">
        <w:rPr>
          <w:rFonts w:ascii="Times New Roman" w:hAnsi="Times New Roman"/>
          <w:b/>
          <w:sz w:val="24"/>
          <w:szCs w:val="24"/>
        </w:rPr>
        <w:t xml:space="preserve"> году и расходов за 201</w:t>
      </w:r>
      <w:r>
        <w:rPr>
          <w:rFonts w:ascii="Times New Roman" w:hAnsi="Times New Roman"/>
          <w:b/>
          <w:sz w:val="24"/>
          <w:szCs w:val="24"/>
        </w:rPr>
        <w:t>2</w:t>
      </w:r>
      <w:r w:rsidRPr="00F11D06">
        <w:rPr>
          <w:rFonts w:ascii="Times New Roman" w:hAnsi="Times New Roman"/>
          <w:b/>
          <w:sz w:val="24"/>
          <w:szCs w:val="24"/>
        </w:rPr>
        <w:t xml:space="preserve"> год (в тыс. руб.)</w:t>
      </w:r>
    </w:p>
    <w:p w:rsidR="00CD2FB3" w:rsidRPr="00FE4AA9" w:rsidRDefault="00CD2FB3" w:rsidP="00CD2FB3">
      <w:pPr>
        <w:spacing w:after="0" w:line="240" w:lineRule="auto"/>
        <w:rPr>
          <w:rFonts w:ascii="Times New Roman" w:hAnsi="Times New Roman"/>
          <w:sz w:val="24"/>
          <w:szCs w:val="24"/>
        </w:rPr>
      </w:pPr>
    </w:p>
    <w:p w:rsidR="00CD2FB3" w:rsidRPr="00FE4AA9" w:rsidRDefault="00CD2FB3" w:rsidP="00CD2FB3">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727700" cy="325564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2FB3" w:rsidRDefault="00CD2FB3" w:rsidP="00CD2FB3">
      <w:pPr>
        <w:spacing w:after="0" w:line="240" w:lineRule="auto"/>
        <w:ind w:firstLine="708"/>
        <w:jc w:val="both"/>
        <w:rPr>
          <w:rFonts w:ascii="Times New Roman" w:hAnsi="Times New Roman"/>
          <w:sz w:val="24"/>
          <w:szCs w:val="24"/>
        </w:rPr>
      </w:pPr>
    </w:p>
    <w:p w:rsidR="00CD2FB3" w:rsidRDefault="00CD2FB3" w:rsidP="00CD2FB3">
      <w:pPr>
        <w:spacing w:after="0" w:line="240" w:lineRule="auto"/>
        <w:ind w:firstLine="708"/>
        <w:jc w:val="both"/>
        <w:rPr>
          <w:rFonts w:ascii="Times New Roman" w:hAnsi="Times New Roman"/>
          <w:sz w:val="24"/>
          <w:szCs w:val="24"/>
        </w:rPr>
      </w:pPr>
    </w:p>
    <w:p w:rsidR="00CD2FB3" w:rsidRPr="008F710D" w:rsidRDefault="00CD2FB3" w:rsidP="00CD2FB3">
      <w:pPr>
        <w:spacing w:after="0" w:line="240" w:lineRule="auto"/>
        <w:ind w:firstLine="708"/>
        <w:jc w:val="both"/>
        <w:rPr>
          <w:rFonts w:ascii="Times New Roman" w:hAnsi="Times New Roman"/>
          <w:sz w:val="24"/>
          <w:szCs w:val="24"/>
        </w:rPr>
      </w:pPr>
      <w:r w:rsidRPr="00FE4AA9">
        <w:rPr>
          <w:rFonts w:ascii="Times New Roman" w:hAnsi="Times New Roman"/>
          <w:sz w:val="24"/>
          <w:szCs w:val="24"/>
        </w:rPr>
        <w:t xml:space="preserve">Заметное высокое поступление доходов в </w:t>
      </w:r>
      <w:r>
        <w:rPr>
          <w:rFonts w:ascii="Times New Roman" w:hAnsi="Times New Roman"/>
          <w:sz w:val="24"/>
          <w:szCs w:val="24"/>
        </w:rPr>
        <w:t>январе и в</w:t>
      </w:r>
      <w:r w:rsidR="00610C1A">
        <w:rPr>
          <w:rFonts w:ascii="Times New Roman" w:hAnsi="Times New Roman"/>
          <w:sz w:val="24"/>
          <w:szCs w:val="24"/>
        </w:rPr>
        <w:t xml:space="preserve"> </w:t>
      </w:r>
      <w:r>
        <w:rPr>
          <w:rFonts w:ascii="Times New Roman" w:hAnsi="Times New Roman"/>
          <w:sz w:val="24"/>
          <w:szCs w:val="24"/>
        </w:rPr>
        <w:t xml:space="preserve">начале </w:t>
      </w:r>
      <w:r w:rsidRPr="00FE4AA9">
        <w:rPr>
          <w:rFonts w:ascii="Times New Roman" w:hAnsi="Times New Roman"/>
          <w:sz w:val="24"/>
          <w:szCs w:val="24"/>
        </w:rPr>
        <w:t>201</w:t>
      </w:r>
      <w:r>
        <w:rPr>
          <w:rFonts w:ascii="Times New Roman" w:hAnsi="Times New Roman"/>
          <w:sz w:val="24"/>
          <w:szCs w:val="24"/>
        </w:rPr>
        <w:t>2</w:t>
      </w:r>
      <w:r w:rsidRPr="00FE4AA9">
        <w:rPr>
          <w:rFonts w:ascii="Times New Roman" w:hAnsi="Times New Roman"/>
          <w:sz w:val="24"/>
          <w:szCs w:val="24"/>
        </w:rPr>
        <w:t xml:space="preserve"> года обусловлено  оплатой членских взносов за</w:t>
      </w:r>
      <w:r w:rsidR="00422271">
        <w:rPr>
          <w:rFonts w:ascii="Times New Roman" w:hAnsi="Times New Roman"/>
          <w:sz w:val="24"/>
          <w:szCs w:val="24"/>
        </w:rPr>
        <w:t xml:space="preserve"> </w:t>
      </w:r>
      <w:r>
        <w:rPr>
          <w:rFonts w:ascii="Times New Roman" w:hAnsi="Times New Roman"/>
          <w:sz w:val="24"/>
          <w:szCs w:val="24"/>
        </w:rPr>
        <w:t xml:space="preserve">2012 </w:t>
      </w:r>
      <w:r w:rsidRPr="00FE4AA9">
        <w:rPr>
          <w:rFonts w:ascii="Times New Roman" w:hAnsi="Times New Roman"/>
          <w:sz w:val="24"/>
          <w:szCs w:val="24"/>
        </w:rPr>
        <w:t>год</w:t>
      </w:r>
      <w:r>
        <w:rPr>
          <w:rFonts w:ascii="Times New Roman" w:hAnsi="Times New Roman"/>
          <w:sz w:val="24"/>
          <w:szCs w:val="24"/>
        </w:rPr>
        <w:t>. Организации</w:t>
      </w:r>
      <w:r w:rsidRPr="008F710D">
        <w:rPr>
          <w:rFonts w:ascii="Times New Roman" w:hAnsi="Times New Roman"/>
          <w:sz w:val="24"/>
          <w:szCs w:val="24"/>
        </w:rPr>
        <w:t xml:space="preserve">, </w:t>
      </w:r>
      <w:r>
        <w:rPr>
          <w:rFonts w:ascii="Times New Roman" w:hAnsi="Times New Roman"/>
          <w:sz w:val="24"/>
          <w:szCs w:val="24"/>
        </w:rPr>
        <w:t>получившие рассрочку поквартально</w:t>
      </w:r>
      <w:r w:rsidR="00610C1A">
        <w:rPr>
          <w:rFonts w:ascii="Times New Roman" w:hAnsi="Times New Roman"/>
          <w:sz w:val="24"/>
          <w:szCs w:val="24"/>
        </w:rPr>
        <w:t>,</w:t>
      </w:r>
      <w:r>
        <w:rPr>
          <w:rFonts w:ascii="Times New Roman" w:hAnsi="Times New Roman"/>
          <w:sz w:val="24"/>
          <w:szCs w:val="24"/>
        </w:rPr>
        <w:t xml:space="preserve">  уплачивают квартальный взносы в январе</w:t>
      </w:r>
      <w:r w:rsidRPr="008F710D">
        <w:rPr>
          <w:rFonts w:ascii="Times New Roman" w:hAnsi="Times New Roman"/>
          <w:sz w:val="24"/>
          <w:szCs w:val="24"/>
        </w:rPr>
        <w:t xml:space="preserve">, </w:t>
      </w:r>
      <w:r>
        <w:rPr>
          <w:rFonts w:ascii="Times New Roman" w:hAnsi="Times New Roman"/>
          <w:sz w:val="24"/>
          <w:szCs w:val="24"/>
        </w:rPr>
        <w:t>апреле</w:t>
      </w:r>
      <w:r w:rsidR="00610C1A">
        <w:rPr>
          <w:rFonts w:ascii="Times New Roman" w:hAnsi="Times New Roman"/>
          <w:sz w:val="24"/>
          <w:szCs w:val="24"/>
        </w:rPr>
        <w:t>, июле</w:t>
      </w:r>
      <w:r>
        <w:rPr>
          <w:rFonts w:ascii="Times New Roman" w:hAnsi="Times New Roman"/>
          <w:sz w:val="24"/>
          <w:szCs w:val="24"/>
        </w:rPr>
        <w:t xml:space="preserve"> и октябре</w:t>
      </w:r>
      <w:r w:rsidRPr="008F710D">
        <w:rPr>
          <w:rFonts w:ascii="Times New Roman" w:hAnsi="Times New Roman"/>
          <w:sz w:val="24"/>
          <w:szCs w:val="24"/>
        </w:rPr>
        <w:t>.</w:t>
      </w:r>
      <w:r>
        <w:rPr>
          <w:rFonts w:ascii="Times New Roman" w:hAnsi="Times New Roman"/>
          <w:sz w:val="24"/>
          <w:szCs w:val="24"/>
        </w:rPr>
        <w:t xml:space="preserve"> </w:t>
      </w:r>
    </w:p>
    <w:p w:rsidR="00CD2FB3" w:rsidRPr="00FE4AA9" w:rsidRDefault="00CD2FB3" w:rsidP="00CD2FB3">
      <w:pPr>
        <w:widowControl w:val="0"/>
        <w:spacing w:after="0" w:line="240" w:lineRule="auto"/>
        <w:ind w:firstLine="567"/>
        <w:jc w:val="both"/>
        <w:rPr>
          <w:rFonts w:ascii="Times New Roman" w:hAnsi="Times New Roman"/>
          <w:sz w:val="24"/>
          <w:szCs w:val="24"/>
        </w:rPr>
      </w:pPr>
      <w:r w:rsidRPr="00FE4AA9">
        <w:rPr>
          <w:rFonts w:ascii="Times New Roman" w:hAnsi="Times New Roman"/>
          <w:sz w:val="24"/>
          <w:szCs w:val="24"/>
        </w:rPr>
        <w:t xml:space="preserve">К расходам Некоммерческого </w:t>
      </w:r>
      <w:r>
        <w:rPr>
          <w:rFonts w:ascii="Times New Roman" w:hAnsi="Times New Roman"/>
          <w:sz w:val="24"/>
          <w:szCs w:val="24"/>
        </w:rPr>
        <w:t>п</w:t>
      </w:r>
      <w:r w:rsidRPr="00FE4AA9">
        <w:rPr>
          <w:rFonts w:ascii="Times New Roman" w:hAnsi="Times New Roman"/>
          <w:sz w:val="24"/>
          <w:szCs w:val="24"/>
        </w:rPr>
        <w:t xml:space="preserve">артнерства относятся: </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lastRenderedPageBreak/>
        <w:t>- Материальные расходы</w:t>
      </w:r>
      <w:r>
        <w:rPr>
          <w:rFonts w:ascii="Times New Roman" w:hAnsi="Times New Roman"/>
          <w:sz w:val="24"/>
          <w:szCs w:val="24"/>
        </w:rPr>
        <w:t>;</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Расходы на оплату труда;</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Аренда;</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Капитальные вложения;</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Взносы в национальные объединения саморегулируемых организаций;</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Расходы на служебные командировки;</w:t>
      </w:r>
    </w:p>
    <w:p w:rsidR="00CD2FB3" w:rsidRPr="00FE4AA9" w:rsidRDefault="00CD2FB3" w:rsidP="00CD2FB3">
      <w:pPr>
        <w:widowControl w:val="0"/>
        <w:spacing w:after="0" w:line="240" w:lineRule="auto"/>
        <w:jc w:val="both"/>
        <w:rPr>
          <w:rFonts w:ascii="Times New Roman" w:hAnsi="Times New Roman"/>
          <w:sz w:val="24"/>
          <w:szCs w:val="24"/>
        </w:rPr>
      </w:pPr>
      <w:r w:rsidRPr="00FE4AA9">
        <w:rPr>
          <w:rFonts w:ascii="Times New Roman" w:hAnsi="Times New Roman"/>
          <w:sz w:val="24"/>
          <w:szCs w:val="24"/>
        </w:rPr>
        <w:t>- Расходы на приобретение материалов, оказания услуг, и выполнение работ;</w:t>
      </w:r>
    </w:p>
    <w:p w:rsidR="00F71430" w:rsidRDefault="00CD2FB3" w:rsidP="00F71430">
      <w:pPr>
        <w:widowControl w:val="0"/>
        <w:spacing w:after="0" w:line="240" w:lineRule="auto"/>
        <w:jc w:val="both"/>
        <w:rPr>
          <w:rFonts w:ascii="Times New Roman" w:hAnsi="Times New Roman"/>
          <w:sz w:val="24"/>
          <w:szCs w:val="24"/>
        </w:rPr>
      </w:pPr>
      <w:r w:rsidRPr="00FE4AA9">
        <w:rPr>
          <w:rFonts w:ascii="Times New Roman" w:hAnsi="Times New Roman"/>
          <w:sz w:val="24"/>
          <w:szCs w:val="24"/>
        </w:rPr>
        <w:t>- Отчисления и налоги.</w:t>
      </w:r>
    </w:p>
    <w:p w:rsidR="00F71430" w:rsidRDefault="00F71430" w:rsidP="00F71430">
      <w:pPr>
        <w:widowControl w:val="0"/>
        <w:spacing w:after="0" w:line="240" w:lineRule="auto"/>
        <w:jc w:val="both"/>
        <w:rPr>
          <w:rFonts w:ascii="Times New Roman" w:hAnsi="Times New Roman"/>
          <w:sz w:val="24"/>
          <w:szCs w:val="24"/>
        </w:rPr>
      </w:pPr>
    </w:p>
    <w:p w:rsidR="00E2328B" w:rsidRDefault="00E2328B" w:rsidP="00F71430">
      <w:pPr>
        <w:widowControl w:val="0"/>
        <w:spacing w:after="0" w:line="240" w:lineRule="auto"/>
        <w:jc w:val="both"/>
        <w:rPr>
          <w:rFonts w:ascii="Times New Roman" w:hAnsi="Times New Roman"/>
          <w:b/>
          <w:sz w:val="32"/>
          <w:szCs w:val="32"/>
        </w:rPr>
      </w:pPr>
    </w:p>
    <w:p w:rsidR="00CD2FB3" w:rsidRPr="00E2328B" w:rsidRDefault="00CD2FB3" w:rsidP="00F71430">
      <w:pPr>
        <w:widowControl w:val="0"/>
        <w:spacing w:after="0" w:line="240" w:lineRule="auto"/>
        <w:jc w:val="both"/>
        <w:rPr>
          <w:rFonts w:ascii="Times New Roman" w:hAnsi="Times New Roman"/>
          <w:b/>
          <w:sz w:val="24"/>
          <w:szCs w:val="24"/>
        </w:rPr>
      </w:pPr>
      <w:r w:rsidRPr="00E2328B">
        <w:rPr>
          <w:rFonts w:ascii="Times New Roman" w:hAnsi="Times New Roman"/>
          <w:b/>
          <w:sz w:val="24"/>
          <w:szCs w:val="24"/>
        </w:rPr>
        <w:t>Диаграмма статей расходов за 2012 год</w:t>
      </w:r>
    </w:p>
    <w:p w:rsidR="00CD2FB3" w:rsidRPr="00970284" w:rsidRDefault="00CD2FB3" w:rsidP="00CD2FB3">
      <w:pPr>
        <w:widowControl w:val="0"/>
        <w:spacing w:after="0" w:line="240" w:lineRule="auto"/>
        <w:ind w:firstLine="720"/>
        <w:jc w:val="center"/>
        <w:rPr>
          <w:rFonts w:ascii="Times New Roman" w:hAnsi="Times New Roman"/>
          <w:b/>
          <w:sz w:val="24"/>
          <w:szCs w:val="24"/>
        </w:rPr>
      </w:pPr>
    </w:p>
    <w:p w:rsidR="00CD2FB3" w:rsidRPr="00FE4AA9" w:rsidRDefault="00CD2FB3" w:rsidP="00CD2FB3">
      <w:pPr>
        <w:widowControl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159500" cy="400939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0C1A" w:rsidRDefault="00610C1A" w:rsidP="00CD2FB3">
      <w:pPr>
        <w:widowControl w:val="0"/>
        <w:spacing w:after="0" w:line="240" w:lineRule="auto"/>
        <w:ind w:firstLine="567"/>
        <w:jc w:val="both"/>
        <w:rPr>
          <w:rFonts w:ascii="Times New Roman" w:hAnsi="Times New Roman"/>
          <w:sz w:val="24"/>
          <w:szCs w:val="24"/>
        </w:rPr>
      </w:pPr>
    </w:p>
    <w:p w:rsidR="00610C1A" w:rsidRDefault="00610C1A" w:rsidP="00CD2FB3">
      <w:pPr>
        <w:widowControl w:val="0"/>
        <w:spacing w:after="0" w:line="240" w:lineRule="auto"/>
        <w:ind w:firstLine="567"/>
        <w:jc w:val="both"/>
        <w:rPr>
          <w:rFonts w:ascii="Times New Roman" w:hAnsi="Times New Roman"/>
          <w:sz w:val="24"/>
          <w:szCs w:val="24"/>
        </w:rPr>
      </w:pPr>
    </w:p>
    <w:p w:rsidR="00CD2FB3" w:rsidRDefault="00CD2FB3" w:rsidP="00CD2FB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Компенсационный фонд</w:t>
      </w:r>
      <w:r w:rsidRPr="0064590B">
        <w:rPr>
          <w:rFonts w:ascii="Times New Roman" w:hAnsi="Times New Roman"/>
          <w:sz w:val="24"/>
          <w:szCs w:val="24"/>
        </w:rPr>
        <w:t xml:space="preserve"> НП «</w:t>
      </w:r>
      <w:r>
        <w:rPr>
          <w:rFonts w:ascii="Times New Roman" w:hAnsi="Times New Roman"/>
          <w:sz w:val="24"/>
          <w:szCs w:val="24"/>
        </w:rPr>
        <w:t>Б</w:t>
      </w:r>
      <w:r w:rsidR="00E063E5">
        <w:rPr>
          <w:rFonts w:ascii="Times New Roman" w:hAnsi="Times New Roman"/>
          <w:sz w:val="24"/>
          <w:szCs w:val="24"/>
        </w:rPr>
        <w:t>алт</w:t>
      </w:r>
      <w:r>
        <w:rPr>
          <w:rFonts w:ascii="Times New Roman" w:hAnsi="Times New Roman"/>
          <w:sz w:val="24"/>
          <w:szCs w:val="24"/>
        </w:rPr>
        <w:t>Э</w:t>
      </w:r>
      <w:r w:rsidR="00E063E5">
        <w:rPr>
          <w:rFonts w:ascii="Times New Roman" w:hAnsi="Times New Roman"/>
          <w:sz w:val="24"/>
          <w:szCs w:val="24"/>
        </w:rPr>
        <w:t>нерго</w:t>
      </w:r>
      <w:r>
        <w:rPr>
          <w:rFonts w:ascii="Times New Roman" w:hAnsi="Times New Roman"/>
          <w:sz w:val="24"/>
          <w:szCs w:val="24"/>
        </w:rPr>
        <w:t>Э</w:t>
      </w:r>
      <w:r w:rsidR="00E063E5">
        <w:rPr>
          <w:rFonts w:ascii="Times New Roman" w:hAnsi="Times New Roman"/>
          <w:sz w:val="24"/>
          <w:szCs w:val="24"/>
        </w:rPr>
        <w:t>ффект</w:t>
      </w:r>
      <w:r w:rsidRPr="0064590B">
        <w:rPr>
          <w:rFonts w:ascii="Times New Roman" w:hAnsi="Times New Roman"/>
          <w:sz w:val="24"/>
          <w:szCs w:val="24"/>
        </w:rPr>
        <w:t xml:space="preserve">» формируется из средств участников </w:t>
      </w:r>
      <w:r>
        <w:rPr>
          <w:rFonts w:ascii="Times New Roman" w:hAnsi="Times New Roman"/>
          <w:sz w:val="24"/>
          <w:szCs w:val="24"/>
        </w:rPr>
        <w:t>Н</w:t>
      </w:r>
      <w:r w:rsidRPr="0064590B">
        <w:rPr>
          <w:rFonts w:ascii="Times New Roman" w:hAnsi="Times New Roman"/>
          <w:sz w:val="24"/>
          <w:szCs w:val="24"/>
        </w:rPr>
        <w:t>екоммерческого партнерства и служит для покрытия убытков, причиненных любым участником СРО в результате своей профессиональной деятельности.</w:t>
      </w:r>
      <w:r>
        <w:rPr>
          <w:rFonts w:ascii="Times New Roman" w:hAnsi="Times New Roman"/>
          <w:sz w:val="24"/>
          <w:szCs w:val="24"/>
        </w:rPr>
        <w:t xml:space="preserve"> </w:t>
      </w:r>
      <w:r w:rsidRPr="0064590B">
        <w:rPr>
          <w:rFonts w:ascii="Times New Roman" w:hAnsi="Times New Roman"/>
          <w:sz w:val="24"/>
          <w:szCs w:val="24"/>
        </w:rPr>
        <w:t>Компенсационный фонд является резервным фондом в случаях, если суммы страховых выплат оказывается не достаточно для покрытия официально признанной суммы возмещения.</w:t>
      </w:r>
    </w:p>
    <w:p w:rsidR="00CD2FB3" w:rsidRPr="00FE4AA9" w:rsidRDefault="00CD2FB3" w:rsidP="00CD2FB3">
      <w:pPr>
        <w:widowControl w:val="0"/>
        <w:spacing w:after="0" w:line="240" w:lineRule="auto"/>
        <w:ind w:firstLine="567"/>
        <w:jc w:val="both"/>
        <w:rPr>
          <w:rFonts w:ascii="Times New Roman" w:hAnsi="Times New Roman"/>
          <w:sz w:val="24"/>
          <w:szCs w:val="24"/>
        </w:rPr>
      </w:pPr>
      <w:r w:rsidRPr="00FE4AA9">
        <w:rPr>
          <w:rFonts w:ascii="Times New Roman" w:hAnsi="Times New Roman"/>
          <w:sz w:val="24"/>
          <w:szCs w:val="24"/>
        </w:rPr>
        <w:t xml:space="preserve">Компенсационный фонд </w:t>
      </w:r>
      <w:r w:rsidR="00610C1A">
        <w:rPr>
          <w:rFonts w:ascii="Times New Roman" w:hAnsi="Times New Roman"/>
          <w:sz w:val="24"/>
          <w:szCs w:val="24"/>
        </w:rPr>
        <w:t>П</w:t>
      </w:r>
      <w:r w:rsidRPr="00FE4AA9">
        <w:rPr>
          <w:rFonts w:ascii="Times New Roman" w:hAnsi="Times New Roman"/>
          <w:sz w:val="24"/>
          <w:szCs w:val="24"/>
        </w:rPr>
        <w:t xml:space="preserve">артнерства формируется за счет взносов членов </w:t>
      </w:r>
      <w:r w:rsidR="00610C1A">
        <w:rPr>
          <w:rFonts w:ascii="Times New Roman" w:hAnsi="Times New Roman"/>
          <w:sz w:val="24"/>
          <w:szCs w:val="24"/>
        </w:rPr>
        <w:t>П</w:t>
      </w:r>
      <w:r w:rsidRPr="00FE4AA9">
        <w:rPr>
          <w:rFonts w:ascii="Times New Roman" w:hAnsi="Times New Roman"/>
          <w:sz w:val="24"/>
          <w:szCs w:val="24"/>
        </w:rPr>
        <w:t xml:space="preserve">артнерства. Фактический размер компенсационного фонда </w:t>
      </w:r>
      <w:r w:rsidR="00610C1A">
        <w:rPr>
          <w:rFonts w:ascii="Times New Roman" w:hAnsi="Times New Roman"/>
          <w:sz w:val="24"/>
          <w:szCs w:val="24"/>
        </w:rPr>
        <w:t>П</w:t>
      </w:r>
      <w:r w:rsidRPr="00FE4AA9">
        <w:rPr>
          <w:rFonts w:ascii="Times New Roman" w:hAnsi="Times New Roman"/>
          <w:sz w:val="24"/>
          <w:szCs w:val="24"/>
        </w:rPr>
        <w:t xml:space="preserve">артнерства определяется с учетом фактического числа его членов и фактического размера взносов в компенсационный фонд каждого члена, установленного решением Совета </w:t>
      </w:r>
      <w:r w:rsidR="00610C1A">
        <w:rPr>
          <w:rFonts w:ascii="Times New Roman" w:hAnsi="Times New Roman"/>
          <w:sz w:val="24"/>
          <w:szCs w:val="24"/>
        </w:rPr>
        <w:t>П</w:t>
      </w:r>
      <w:r w:rsidRPr="00FE4AA9">
        <w:rPr>
          <w:rFonts w:ascii="Times New Roman" w:hAnsi="Times New Roman"/>
          <w:sz w:val="24"/>
          <w:szCs w:val="24"/>
        </w:rPr>
        <w:t xml:space="preserve">артнерства. </w:t>
      </w:r>
    </w:p>
    <w:p w:rsidR="00CD2FB3" w:rsidRPr="00FE4AA9" w:rsidRDefault="00CD2FB3" w:rsidP="00CD2FB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Размещение</w:t>
      </w:r>
      <w:r w:rsidRPr="00FE4AA9">
        <w:rPr>
          <w:rFonts w:ascii="Times New Roman" w:hAnsi="Times New Roman"/>
          <w:sz w:val="24"/>
          <w:szCs w:val="24"/>
        </w:rPr>
        <w:t xml:space="preserve"> компенсационного фонда осуществляется в соответствии с «Инвестиционной декларацией компенсационного фонда» утвержденной решением совета Некоммерческого партнерства «</w:t>
      </w:r>
      <w:r w:rsidR="00E063E5">
        <w:rPr>
          <w:rFonts w:ascii="Times New Roman" w:hAnsi="Times New Roman"/>
          <w:sz w:val="24"/>
          <w:szCs w:val="24"/>
        </w:rPr>
        <w:t>БалтЭнергоЭффект</w:t>
      </w:r>
      <w:r w:rsidRPr="00FE4AA9">
        <w:rPr>
          <w:rFonts w:ascii="Times New Roman" w:hAnsi="Times New Roman"/>
          <w:sz w:val="24"/>
          <w:szCs w:val="24"/>
        </w:rPr>
        <w:t>»</w:t>
      </w:r>
      <w:r>
        <w:rPr>
          <w:rFonts w:ascii="Times New Roman" w:hAnsi="Times New Roman"/>
          <w:sz w:val="24"/>
          <w:szCs w:val="24"/>
        </w:rPr>
        <w:t xml:space="preserve">. </w:t>
      </w:r>
      <w:r w:rsidRPr="00FE4AA9">
        <w:rPr>
          <w:rFonts w:ascii="Times New Roman" w:hAnsi="Times New Roman"/>
          <w:sz w:val="24"/>
          <w:szCs w:val="24"/>
        </w:rPr>
        <w:t xml:space="preserve">Инвестиционная декларация устанавливает требования к составу и структуре средств компенсационного фонда организации, размещаемых в целях их сохранения и прироста через управляющие </w:t>
      </w:r>
      <w:r w:rsidRPr="00FE4AA9">
        <w:rPr>
          <w:rFonts w:ascii="Times New Roman" w:hAnsi="Times New Roman"/>
          <w:sz w:val="24"/>
          <w:szCs w:val="24"/>
        </w:rPr>
        <w:lastRenderedPageBreak/>
        <w:t>компании.</w:t>
      </w:r>
      <w:r>
        <w:rPr>
          <w:rFonts w:ascii="Times New Roman" w:hAnsi="Times New Roman"/>
          <w:sz w:val="24"/>
          <w:szCs w:val="24"/>
        </w:rPr>
        <w:t xml:space="preserve"> </w:t>
      </w:r>
      <w:r w:rsidRPr="00FE4AA9">
        <w:rPr>
          <w:rFonts w:ascii="Times New Roman" w:hAnsi="Times New Roman"/>
          <w:sz w:val="24"/>
          <w:szCs w:val="24"/>
        </w:rPr>
        <w:t xml:space="preserve">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 Контроль за соблюдением управляющими компаниями ограничений по размещению и инвестированию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федеральным законодательством и принятой Советом </w:t>
      </w:r>
      <w:r w:rsidR="00610C1A">
        <w:rPr>
          <w:rFonts w:ascii="Times New Roman" w:hAnsi="Times New Roman"/>
          <w:sz w:val="24"/>
          <w:szCs w:val="24"/>
        </w:rPr>
        <w:t>П</w:t>
      </w:r>
      <w:r w:rsidRPr="00FE4AA9">
        <w:rPr>
          <w:rFonts w:ascii="Times New Roman" w:hAnsi="Times New Roman"/>
          <w:sz w:val="24"/>
          <w:szCs w:val="24"/>
        </w:rPr>
        <w:t>артнерства инвестиционной декларацией, осуществляется специализированным депозитарием на основании договора об оказании услуг сп</w:t>
      </w:r>
      <w:r>
        <w:rPr>
          <w:rFonts w:ascii="Times New Roman" w:hAnsi="Times New Roman"/>
          <w:sz w:val="24"/>
          <w:szCs w:val="24"/>
        </w:rPr>
        <w:t xml:space="preserve">ециализированного депозитария. </w:t>
      </w:r>
      <w:r w:rsidRPr="00FE4AA9">
        <w:rPr>
          <w:rFonts w:ascii="Times New Roman" w:hAnsi="Times New Roman"/>
          <w:sz w:val="24"/>
          <w:szCs w:val="24"/>
        </w:rPr>
        <w:t xml:space="preserve">Обо всех случаях нарушения требований, установленных законодательством и принятой Партнерством инвестиционной декларацией, к размещению средств компенсационного фонда специализированный депозитарий уведомляет Совет </w:t>
      </w:r>
      <w:r w:rsidR="00610C1A">
        <w:rPr>
          <w:rFonts w:ascii="Times New Roman" w:hAnsi="Times New Roman"/>
          <w:sz w:val="24"/>
          <w:szCs w:val="24"/>
        </w:rPr>
        <w:t>П</w:t>
      </w:r>
      <w:r w:rsidRPr="00FE4AA9">
        <w:rPr>
          <w:rFonts w:ascii="Times New Roman" w:hAnsi="Times New Roman"/>
          <w:sz w:val="24"/>
          <w:szCs w:val="24"/>
        </w:rPr>
        <w:t>артнерства.</w:t>
      </w:r>
      <w:r>
        <w:rPr>
          <w:rFonts w:ascii="Times New Roman" w:hAnsi="Times New Roman"/>
          <w:sz w:val="24"/>
          <w:szCs w:val="24"/>
        </w:rPr>
        <w:t xml:space="preserve"> </w:t>
      </w:r>
      <w:r w:rsidRPr="00FE4AA9">
        <w:rPr>
          <w:rFonts w:ascii="Times New Roman" w:hAnsi="Times New Roman"/>
          <w:sz w:val="24"/>
          <w:szCs w:val="24"/>
        </w:rPr>
        <w:t>Партнерство заключает договор об оказании услуг специализированного депозитария только со специализированными депозитариями, отобранными по результатам конкурса</w:t>
      </w:r>
      <w:r>
        <w:rPr>
          <w:rFonts w:ascii="Times New Roman" w:hAnsi="Times New Roman"/>
          <w:sz w:val="24"/>
          <w:szCs w:val="24"/>
        </w:rPr>
        <w:t>,</w:t>
      </w:r>
      <w:r w:rsidRPr="00FE4AA9">
        <w:rPr>
          <w:rFonts w:ascii="Times New Roman" w:hAnsi="Times New Roman"/>
          <w:sz w:val="24"/>
          <w:szCs w:val="24"/>
        </w:rPr>
        <w:t xml:space="preserve"> проведенного в порядке и в соот</w:t>
      </w:r>
      <w:r>
        <w:rPr>
          <w:rFonts w:ascii="Times New Roman" w:hAnsi="Times New Roman"/>
          <w:sz w:val="24"/>
          <w:szCs w:val="24"/>
        </w:rPr>
        <w:t>ветствии с правилами, установленными локальными актами Партнерства</w:t>
      </w:r>
      <w:r w:rsidRPr="00FE4AA9">
        <w:rPr>
          <w:rFonts w:ascii="Times New Roman" w:hAnsi="Times New Roman"/>
          <w:sz w:val="24"/>
          <w:szCs w:val="24"/>
        </w:rPr>
        <w:t>.</w:t>
      </w:r>
    </w:p>
    <w:p w:rsidR="00CD2FB3" w:rsidRDefault="00CD2FB3" w:rsidP="00CD2FB3">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На 01.01.2012 фактический размер компенсационного фонда составил 1490 тысяч рублей, а на 01.11.2012 –</w:t>
      </w:r>
      <w:r w:rsidRPr="00B20E7A">
        <w:rPr>
          <w:rFonts w:ascii="Times New Roman" w:hAnsi="Times New Roman"/>
          <w:sz w:val="24"/>
          <w:szCs w:val="24"/>
        </w:rPr>
        <w:t xml:space="preserve"> </w:t>
      </w:r>
      <w:r>
        <w:rPr>
          <w:rFonts w:ascii="Times New Roman" w:hAnsi="Times New Roman"/>
          <w:sz w:val="24"/>
          <w:szCs w:val="24"/>
        </w:rPr>
        <w:t>1860 тысяч рублей.</w:t>
      </w:r>
      <w:r w:rsidRPr="00B20E7A">
        <w:rPr>
          <w:rFonts w:ascii="Times New Roman" w:hAnsi="Times New Roman"/>
          <w:sz w:val="24"/>
          <w:szCs w:val="24"/>
        </w:rPr>
        <w:t xml:space="preserve"> </w:t>
      </w:r>
      <w:r w:rsidRPr="00970284">
        <w:rPr>
          <w:rFonts w:ascii="Times New Roman" w:hAnsi="Times New Roman"/>
          <w:sz w:val="24"/>
          <w:szCs w:val="24"/>
        </w:rPr>
        <w:t>Выплаты из компенсационного фонда за указанный период не производились.</w:t>
      </w:r>
      <w:r>
        <w:rPr>
          <w:rFonts w:ascii="Times New Roman" w:hAnsi="Times New Roman"/>
          <w:sz w:val="24"/>
          <w:szCs w:val="24"/>
        </w:rPr>
        <w:t xml:space="preserve"> </w:t>
      </w:r>
    </w:p>
    <w:p w:rsidR="00CD2FB3" w:rsidRDefault="00CD2FB3" w:rsidP="00CD2FB3">
      <w:pPr>
        <w:widowControl w:val="0"/>
        <w:spacing w:after="0" w:line="240" w:lineRule="auto"/>
        <w:ind w:firstLine="567"/>
        <w:jc w:val="both"/>
        <w:rPr>
          <w:rFonts w:ascii="Times New Roman" w:hAnsi="Times New Roman"/>
          <w:sz w:val="24"/>
          <w:szCs w:val="24"/>
        </w:rPr>
      </w:pPr>
    </w:p>
    <w:p w:rsidR="00CD2FB3" w:rsidRDefault="00CD2FB3" w:rsidP="00CD2FB3">
      <w:pPr>
        <w:spacing w:after="0" w:line="240" w:lineRule="auto"/>
        <w:jc w:val="both"/>
        <w:rPr>
          <w:rFonts w:ascii="Times New Roman" w:hAnsi="Times New Roman"/>
          <w:sz w:val="24"/>
          <w:szCs w:val="24"/>
        </w:rPr>
      </w:pPr>
    </w:p>
    <w:p w:rsidR="0027547E" w:rsidRDefault="0027547E" w:rsidP="0027547E">
      <w:pPr>
        <w:spacing w:after="0" w:line="240" w:lineRule="auto"/>
        <w:jc w:val="both"/>
        <w:rPr>
          <w:rFonts w:ascii="Times New Roman" w:hAnsi="Times New Roman"/>
          <w:b/>
          <w:sz w:val="24"/>
          <w:szCs w:val="24"/>
        </w:rPr>
      </w:pPr>
      <w:r>
        <w:rPr>
          <w:rFonts w:ascii="Times New Roman" w:hAnsi="Times New Roman"/>
          <w:b/>
          <w:sz w:val="24"/>
          <w:szCs w:val="24"/>
        </w:rPr>
        <w:t>Общий отдел</w:t>
      </w:r>
    </w:p>
    <w:p w:rsidR="0027547E" w:rsidRDefault="0027547E" w:rsidP="0027547E">
      <w:pPr>
        <w:spacing w:after="0" w:line="240" w:lineRule="auto"/>
        <w:jc w:val="both"/>
        <w:rPr>
          <w:rFonts w:ascii="Times New Roman" w:hAnsi="Times New Roman"/>
          <w:b/>
          <w:sz w:val="24"/>
          <w:szCs w:val="24"/>
        </w:rPr>
      </w:pPr>
    </w:p>
    <w:p w:rsidR="0027547E" w:rsidRPr="0055164F" w:rsidRDefault="0027547E" w:rsidP="0027547E">
      <w:pPr>
        <w:spacing w:after="0" w:line="240" w:lineRule="auto"/>
        <w:ind w:firstLine="567"/>
        <w:jc w:val="both"/>
        <w:rPr>
          <w:rFonts w:ascii="Times New Roman" w:hAnsi="Times New Roman"/>
          <w:sz w:val="24"/>
          <w:szCs w:val="24"/>
        </w:rPr>
      </w:pPr>
      <w:r w:rsidRPr="0055164F">
        <w:rPr>
          <w:rFonts w:ascii="Times New Roman" w:hAnsi="Times New Roman"/>
          <w:sz w:val="24"/>
          <w:szCs w:val="24"/>
        </w:rPr>
        <w:t>В 201</w:t>
      </w:r>
      <w:r w:rsidR="007E5DEE" w:rsidRPr="0055164F">
        <w:rPr>
          <w:rFonts w:ascii="Times New Roman" w:hAnsi="Times New Roman"/>
          <w:sz w:val="24"/>
          <w:szCs w:val="24"/>
        </w:rPr>
        <w:t>2</w:t>
      </w:r>
      <w:r w:rsidRPr="0055164F">
        <w:rPr>
          <w:rFonts w:ascii="Times New Roman" w:hAnsi="Times New Roman"/>
          <w:sz w:val="24"/>
          <w:szCs w:val="24"/>
        </w:rPr>
        <w:t xml:space="preserve"> году Отделом решались следующие задачи:</w:t>
      </w:r>
    </w:p>
    <w:p w:rsidR="0027547E" w:rsidRPr="0055164F" w:rsidRDefault="0027547E" w:rsidP="0027547E">
      <w:pPr>
        <w:numPr>
          <w:ilvl w:val="0"/>
          <w:numId w:val="7"/>
        </w:numPr>
        <w:tabs>
          <w:tab w:val="left" w:pos="142"/>
        </w:tabs>
        <w:spacing w:after="0" w:line="240" w:lineRule="auto"/>
        <w:ind w:left="0" w:firstLine="0"/>
        <w:jc w:val="both"/>
        <w:rPr>
          <w:rFonts w:ascii="Times New Roman" w:hAnsi="Times New Roman"/>
          <w:sz w:val="24"/>
          <w:szCs w:val="24"/>
        </w:rPr>
      </w:pPr>
      <w:r w:rsidRPr="0055164F">
        <w:rPr>
          <w:rFonts w:ascii="Times New Roman" w:hAnsi="Times New Roman"/>
          <w:sz w:val="24"/>
          <w:szCs w:val="24"/>
        </w:rPr>
        <w:t xml:space="preserve"> организация протокольной деятельности в Партнерстве (общее количе</w:t>
      </w:r>
      <w:r w:rsidR="0055164F" w:rsidRPr="0055164F">
        <w:rPr>
          <w:rFonts w:ascii="Times New Roman" w:hAnsi="Times New Roman"/>
          <w:sz w:val="24"/>
          <w:szCs w:val="24"/>
        </w:rPr>
        <w:t xml:space="preserve">ство оформленных протоколов – </w:t>
      </w:r>
      <w:r w:rsidR="005C553F">
        <w:rPr>
          <w:rFonts w:ascii="Times New Roman" w:hAnsi="Times New Roman"/>
          <w:sz w:val="24"/>
          <w:szCs w:val="24"/>
        </w:rPr>
        <w:t>3</w:t>
      </w:r>
      <w:r w:rsidR="008D06BD">
        <w:rPr>
          <w:rFonts w:ascii="Times New Roman" w:hAnsi="Times New Roman"/>
          <w:sz w:val="24"/>
          <w:szCs w:val="24"/>
        </w:rPr>
        <w:t>8</w:t>
      </w:r>
      <w:r w:rsidRPr="0055164F">
        <w:rPr>
          <w:rFonts w:ascii="Times New Roman" w:hAnsi="Times New Roman"/>
          <w:sz w:val="24"/>
          <w:szCs w:val="24"/>
        </w:rPr>
        <w:t xml:space="preserve">); </w:t>
      </w:r>
    </w:p>
    <w:p w:rsidR="0027547E" w:rsidRDefault="0027547E" w:rsidP="0027547E">
      <w:pPr>
        <w:pStyle w:val="a5"/>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организация и ведение кадрового делопроизводства;</w:t>
      </w:r>
    </w:p>
    <w:p w:rsidR="0027547E" w:rsidRDefault="0027547E" w:rsidP="0027547E">
      <w:pPr>
        <w:pStyle w:val="a5"/>
        <w:numPr>
          <w:ilvl w:val="0"/>
          <w:numId w:val="7"/>
        </w:numPr>
        <w:spacing w:after="0" w:line="240" w:lineRule="auto"/>
        <w:ind w:left="294" w:hanging="294"/>
        <w:contextualSpacing/>
        <w:rPr>
          <w:rFonts w:ascii="Times New Roman" w:hAnsi="Times New Roman"/>
          <w:sz w:val="24"/>
          <w:szCs w:val="24"/>
          <w:lang w:val="en-US"/>
        </w:rPr>
      </w:pPr>
      <w:r>
        <w:rPr>
          <w:rFonts w:ascii="Times New Roman" w:hAnsi="Times New Roman"/>
          <w:sz w:val="24"/>
          <w:szCs w:val="24"/>
        </w:rPr>
        <w:t xml:space="preserve"> обеспечение административной деятельности Партнерства;</w:t>
      </w:r>
    </w:p>
    <w:p w:rsidR="0027547E" w:rsidRPr="00AC1ED6" w:rsidRDefault="0027547E" w:rsidP="0027547E">
      <w:pPr>
        <w:pStyle w:val="a5"/>
        <w:numPr>
          <w:ilvl w:val="0"/>
          <w:numId w:val="7"/>
        </w:numPr>
        <w:spacing w:after="0" w:line="240" w:lineRule="auto"/>
        <w:ind w:left="294" w:hanging="294"/>
        <w:contextualSpacing/>
        <w:jc w:val="both"/>
        <w:rPr>
          <w:rFonts w:ascii="Times New Roman" w:hAnsi="Times New Roman"/>
          <w:b/>
          <w:color w:val="C00000"/>
          <w:sz w:val="24"/>
          <w:szCs w:val="24"/>
        </w:rPr>
      </w:pPr>
      <w:r w:rsidRPr="00AC1ED6">
        <w:rPr>
          <w:rFonts w:ascii="Times New Roman" w:hAnsi="Times New Roman"/>
          <w:sz w:val="24"/>
          <w:szCs w:val="24"/>
        </w:rPr>
        <w:t xml:space="preserve"> осуществление контроля за соблюдением правил внутреннего трудового распорядка, а также правил и норм охраны труда.</w:t>
      </w:r>
    </w:p>
    <w:p w:rsidR="0027547E" w:rsidRDefault="0027547E" w:rsidP="0027547E">
      <w:pPr>
        <w:spacing w:after="0" w:line="240" w:lineRule="auto"/>
        <w:ind w:left="567"/>
        <w:jc w:val="both"/>
        <w:rPr>
          <w:rFonts w:ascii="Times New Roman" w:hAnsi="Times New Roman"/>
          <w:sz w:val="24"/>
          <w:szCs w:val="24"/>
        </w:rPr>
      </w:pPr>
    </w:p>
    <w:p w:rsidR="0027547E" w:rsidRDefault="0027547E" w:rsidP="0027547E">
      <w:pPr>
        <w:spacing w:after="0" w:line="240" w:lineRule="auto"/>
        <w:ind w:left="567"/>
        <w:jc w:val="both"/>
        <w:rPr>
          <w:rFonts w:ascii="Times New Roman" w:hAnsi="Times New Roman"/>
          <w:sz w:val="24"/>
          <w:szCs w:val="24"/>
        </w:rPr>
      </w:pPr>
    </w:p>
    <w:p w:rsidR="0027547E" w:rsidRDefault="0027547E" w:rsidP="0027547E">
      <w:pPr>
        <w:spacing w:after="0" w:line="240" w:lineRule="auto"/>
        <w:rPr>
          <w:rFonts w:ascii="Times New Roman" w:hAnsi="Times New Roman"/>
          <w:sz w:val="24"/>
          <w:szCs w:val="24"/>
        </w:rPr>
      </w:pPr>
      <w:r>
        <w:rPr>
          <w:noProof/>
          <w:lang w:eastAsia="ru-RU"/>
        </w:rPr>
        <w:drawing>
          <wp:inline distT="0" distB="0" distL="0" distR="0">
            <wp:extent cx="4813300" cy="2311400"/>
            <wp:effectExtent l="38100" t="0" r="2540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547E" w:rsidRDefault="0027547E" w:rsidP="0027547E">
      <w:pPr>
        <w:spacing w:after="0" w:line="240" w:lineRule="auto"/>
        <w:rPr>
          <w:rFonts w:ascii="Times New Roman" w:hAnsi="Times New Roman"/>
          <w:b/>
          <w:sz w:val="24"/>
          <w:szCs w:val="24"/>
        </w:rPr>
      </w:pPr>
    </w:p>
    <w:p w:rsidR="0027547E" w:rsidRDefault="0027547E" w:rsidP="0027547E">
      <w:pPr>
        <w:spacing w:after="0" w:line="240" w:lineRule="auto"/>
        <w:rPr>
          <w:rFonts w:ascii="Times New Roman" w:hAnsi="Times New Roman"/>
          <w:b/>
          <w:sz w:val="24"/>
          <w:szCs w:val="24"/>
        </w:rPr>
      </w:pPr>
    </w:p>
    <w:p w:rsidR="0027547E" w:rsidRDefault="0027547E" w:rsidP="0027547E">
      <w:pPr>
        <w:spacing w:after="0" w:line="240" w:lineRule="auto"/>
        <w:rPr>
          <w:rFonts w:ascii="Times New Roman" w:hAnsi="Times New Roman"/>
          <w:b/>
          <w:sz w:val="24"/>
          <w:szCs w:val="24"/>
        </w:rPr>
      </w:pPr>
    </w:p>
    <w:p w:rsidR="0027547E" w:rsidRPr="00E20EF8" w:rsidRDefault="0027547E" w:rsidP="0027547E">
      <w:pPr>
        <w:spacing w:after="0" w:line="240" w:lineRule="auto"/>
        <w:rPr>
          <w:rFonts w:ascii="Times New Roman" w:hAnsi="Times New Roman"/>
          <w:b/>
          <w:sz w:val="24"/>
          <w:szCs w:val="24"/>
        </w:rPr>
      </w:pPr>
      <w:r w:rsidRPr="00E20EF8">
        <w:rPr>
          <w:rFonts w:ascii="Times New Roman" w:hAnsi="Times New Roman"/>
          <w:b/>
          <w:sz w:val="24"/>
          <w:szCs w:val="24"/>
        </w:rPr>
        <w:t>Отдел обеспечения мероприятий контрол</w:t>
      </w:r>
      <w:r>
        <w:rPr>
          <w:rFonts w:ascii="Times New Roman" w:hAnsi="Times New Roman"/>
          <w:b/>
          <w:sz w:val="24"/>
          <w:szCs w:val="24"/>
        </w:rPr>
        <w:t>я</w:t>
      </w:r>
      <w:r w:rsidRPr="00E20EF8">
        <w:rPr>
          <w:rFonts w:ascii="Times New Roman" w:hAnsi="Times New Roman"/>
          <w:b/>
          <w:sz w:val="24"/>
          <w:szCs w:val="24"/>
        </w:rPr>
        <w:t xml:space="preserve"> </w:t>
      </w:r>
      <w:r>
        <w:rPr>
          <w:rFonts w:ascii="Times New Roman" w:hAnsi="Times New Roman"/>
          <w:b/>
          <w:sz w:val="24"/>
          <w:szCs w:val="24"/>
        </w:rPr>
        <w:t xml:space="preserve">и </w:t>
      </w:r>
      <w:r w:rsidRPr="00E20EF8">
        <w:rPr>
          <w:rFonts w:ascii="Times New Roman" w:hAnsi="Times New Roman"/>
          <w:b/>
          <w:sz w:val="24"/>
          <w:szCs w:val="24"/>
        </w:rPr>
        <w:t>дисциплинарной практики</w:t>
      </w:r>
    </w:p>
    <w:p w:rsidR="0027547E" w:rsidRPr="00E20EF8" w:rsidRDefault="0027547E" w:rsidP="0027547E">
      <w:pPr>
        <w:spacing w:after="0" w:line="240" w:lineRule="auto"/>
        <w:rPr>
          <w:rFonts w:ascii="Times New Roman" w:hAnsi="Times New Roman"/>
          <w:sz w:val="24"/>
          <w:szCs w:val="24"/>
        </w:rPr>
      </w:pPr>
    </w:p>
    <w:p w:rsidR="0027547E" w:rsidRPr="00E20EF8" w:rsidRDefault="0027547E" w:rsidP="0027547E">
      <w:pPr>
        <w:spacing w:after="0" w:line="240" w:lineRule="auto"/>
        <w:ind w:firstLine="567"/>
        <w:jc w:val="both"/>
        <w:rPr>
          <w:rFonts w:ascii="Times New Roman" w:hAnsi="Times New Roman"/>
          <w:color w:val="FF0000"/>
          <w:sz w:val="24"/>
          <w:szCs w:val="24"/>
        </w:rPr>
      </w:pPr>
      <w:r w:rsidRPr="00E20EF8">
        <w:rPr>
          <w:rFonts w:ascii="Times New Roman" w:hAnsi="Times New Roman"/>
          <w:sz w:val="24"/>
          <w:szCs w:val="24"/>
        </w:rPr>
        <w:t>Отдел контроля за соблюдением требований к оформлени</w:t>
      </w:r>
      <w:r>
        <w:rPr>
          <w:rFonts w:ascii="Times New Roman" w:hAnsi="Times New Roman"/>
          <w:sz w:val="24"/>
          <w:szCs w:val="24"/>
        </w:rPr>
        <w:t>ю</w:t>
      </w:r>
      <w:r w:rsidRPr="00E20EF8">
        <w:rPr>
          <w:rFonts w:ascii="Times New Roman" w:hAnsi="Times New Roman"/>
          <w:sz w:val="24"/>
          <w:szCs w:val="24"/>
        </w:rPr>
        <w:t xml:space="preserve"> энергетического паспорта должен осуществлять контроль деятельности членов НП «БалтЭнергоЭффект» в </w:t>
      </w:r>
      <w:r w:rsidRPr="00E20EF8">
        <w:rPr>
          <w:rFonts w:ascii="Times New Roman" w:hAnsi="Times New Roman"/>
          <w:sz w:val="24"/>
          <w:szCs w:val="24"/>
        </w:rPr>
        <w:lastRenderedPageBreak/>
        <w:t>части соблюдения ими требований, установленных правилами и стандартами Партнерства.</w:t>
      </w:r>
    </w:p>
    <w:p w:rsidR="0027547E" w:rsidRPr="00470ED3" w:rsidRDefault="0027547E" w:rsidP="0027547E">
      <w:pPr>
        <w:spacing w:after="0" w:line="240" w:lineRule="auto"/>
        <w:rPr>
          <w:rFonts w:ascii="Times New Roman" w:hAnsi="Times New Roman"/>
          <w:color w:val="C00000"/>
          <w:sz w:val="24"/>
          <w:szCs w:val="24"/>
        </w:rPr>
      </w:pPr>
    </w:p>
    <w:p w:rsidR="0027547E" w:rsidRPr="005C553F" w:rsidRDefault="0027547E" w:rsidP="0027547E">
      <w:pPr>
        <w:spacing w:after="0" w:line="240" w:lineRule="auto"/>
        <w:jc w:val="both"/>
        <w:rPr>
          <w:rFonts w:ascii="Times New Roman" w:hAnsi="Times New Roman"/>
          <w:sz w:val="24"/>
          <w:szCs w:val="24"/>
        </w:rPr>
      </w:pPr>
      <w:r w:rsidRPr="007E5DEE">
        <w:rPr>
          <w:rFonts w:ascii="Times New Roman" w:hAnsi="Times New Roman"/>
          <w:color w:val="FF0000"/>
          <w:sz w:val="24"/>
          <w:szCs w:val="24"/>
        </w:rPr>
        <w:t xml:space="preserve">    </w:t>
      </w:r>
      <w:r w:rsidRPr="005C553F">
        <w:rPr>
          <w:rFonts w:ascii="Times New Roman" w:hAnsi="Times New Roman"/>
          <w:sz w:val="24"/>
          <w:szCs w:val="24"/>
        </w:rPr>
        <w:t>Кроме того, в 201</w:t>
      </w:r>
      <w:r w:rsidR="007E5DEE" w:rsidRPr="005C553F">
        <w:rPr>
          <w:rFonts w:ascii="Times New Roman" w:hAnsi="Times New Roman"/>
          <w:sz w:val="24"/>
          <w:szCs w:val="24"/>
        </w:rPr>
        <w:t>2</w:t>
      </w:r>
      <w:r w:rsidRPr="005C553F">
        <w:rPr>
          <w:rFonts w:ascii="Times New Roman" w:hAnsi="Times New Roman"/>
          <w:sz w:val="24"/>
          <w:szCs w:val="24"/>
        </w:rPr>
        <w:t xml:space="preserve"> году НП «БалтЭнергоЭффект» выполнило следующий объем работ:</w:t>
      </w:r>
    </w:p>
    <w:p w:rsidR="0027547E" w:rsidRDefault="0027547E" w:rsidP="0027547E">
      <w:pPr>
        <w:pStyle w:val="a5"/>
        <w:tabs>
          <w:tab w:val="left" w:pos="0"/>
          <w:tab w:val="left" w:pos="1050"/>
        </w:tabs>
        <w:spacing w:after="0" w:line="240" w:lineRule="auto"/>
        <w:ind w:left="0"/>
        <w:contextualSpacing/>
        <w:jc w:val="both"/>
        <w:rPr>
          <w:rFonts w:ascii="Times New Roman" w:hAnsi="Times New Roman"/>
          <w:sz w:val="24"/>
          <w:szCs w:val="24"/>
        </w:rPr>
      </w:pPr>
      <w:r w:rsidRPr="005C553F">
        <w:rPr>
          <w:rFonts w:ascii="Times New Roman" w:hAnsi="Times New Roman"/>
          <w:sz w:val="24"/>
          <w:szCs w:val="24"/>
        </w:rPr>
        <w:t xml:space="preserve">осуществлена регистрация и проверка договоров страхования гражданской ответственности в случае причинения вреда вследствие деятельности организации – энергоаудитора – </w:t>
      </w:r>
      <w:r w:rsidR="005C553F" w:rsidRPr="005C553F">
        <w:rPr>
          <w:rFonts w:ascii="Times New Roman" w:hAnsi="Times New Roman"/>
          <w:b/>
          <w:sz w:val="24"/>
          <w:szCs w:val="24"/>
        </w:rPr>
        <w:t>77</w:t>
      </w:r>
      <w:r w:rsidRPr="005C553F">
        <w:rPr>
          <w:rFonts w:ascii="Times New Roman" w:hAnsi="Times New Roman"/>
          <w:sz w:val="24"/>
          <w:szCs w:val="24"/>
        </w:rPr>
        <w:t xml:space="preserve"> пакетов документов.</w:t>
      </w:r>
    </w:p>
    <w:p w:rsidR="001C366F" w:rsidRDefault="001C366F" w:rsidP="0027547E">
      <w:pPr>
        <w:pStyle w:val="a5"/>
        <w:tabs>
          <w:tab w:val="left" w:pos="0"/>
          <w:tab w:val="left" w:pos="1050"/>
        </w:tabs>
        <w:spacing w:after="0" w:line="240" w:lineRule="auto"/>
        <w:ind w:left="0"/>
        <w:contextualSpacing/>
        <w:jc w:val="both"/>
        <w:rPr>
          <w:rFonts w:ascii="Times New Roman" w:hAnsi="Times New Roman"/>
          <w:sz w:val="24"/>
          <w:szCs w:val="24"/>
        </w:rPr>
      </w:pPr>
    </w:p>
    <w:sectPr w:rsidR="001C366F" w:rsidSect="009E196E">
      <w:footerReference w:type="default" r:id="rId18"/>
      <w:footerReference w:type="first" r:id="rId19"/>
      <w:pgSz w:w="11906" w:h="16838"/>
      <w:pgMar w:top="1134" w:right="850" w:bottom="993"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A6" w:rsidRDefault="005E1DA6" w:rsidP="009E196E">
      <w:pPr>
        <w:spacing w:after="0" w:line="240" w:lineRule="auto"/>
      </w:pPr>
      <w:r>
        <w:separator/>
      </w:r>
    </w:p>
  </w:endnote>
  <w:endnote w:type="continuationSeparator" w:id="0">
    <w:p w:rsidR="005E1DA6" w:rsidRDefault="005E1DA6" w:rsidP="009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901993"/>
      <w:docPartObj>
        <w:docPartGallery w:val="Page Numbers (Bottom of Page)"/>
        <w:docPartUnique/>
      </w:docPartObj>
    </w:sdtPr>
    <w:sdtEndPr/>
    <w:sdtContent>
      <w:p w:rsidR="009E196E" w:rsidRDefault="009E196E">
        <w:pPr>
          <w:pStyle w:val="ae"/>
          <w:jc w:val="right"/>
        </w:pPr>
        <w:r>
          <w:fldChar w:fldCharType="begin"/>
        </w:r>
        <w:r>
          <w:instrText>PAGE   \* MERGEFORMAT</w:instrText>
        </w:r>
        <w:r>
          <w:fldChar w:fldCharType="separate"/>
        </w:r>
        <w:r w:rsidR="00926176">
          <w:rPr>
            <w:noProof/>
          </w:rPr>
          <w:t>10</w:t>
        </w:r>
        <w:r>
          <w:fldChar w:fldCharType="end"/>
        </w:r>
      </w:p>
    </w:sdtContent>
  </w:sdt>
  <w:p w:rsidR="009E196E" w:rsidRDefault="009E196E" w:rsidP="009E196E">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15370"/>
      <w:docPartObj>
        <w:docPartGallery w:val="Page Numbers (Bottom of Page)"/>
        <w:docPartUnique/>
      </w:docPartObj>
    </w:sdtPr>
    <w:sdtEndPr/>
    <w:sdtContent>
      <w:p w:rsidR="009E196E" w:rsidRDefault="009E196E">
        <w:pPr>
          <w:pStyle w:val="ae"/>
          <w:jc w:val="right"/>
        </w:pPr>
        <w:r>
          <w:fldChar w:fldCharType="begin"/>
        </w:r>
        <w:r>
          <w:instrText>PAGE   \* MERGEFORMAT</w:instrText>
        </w:r>
        <w:r>
          <w:fldChar w:fldCharType="separate"/>
        </w:r>
        <w:r>
          <w:rPr>
            <w:noProof/>
          </w:rPr>
          <w:t>0</w:t>
        </w:r>
        <w:r>
          <w:fldChar w:fldCharType="end"/>
        </w:r>
      </w:p>
    </w:sdtContent>
  </w:sdt>
  <w:p w:rsidR="009E196E" w:rsidRDefault="009E19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A6" w:rsidRDefault="005E1DA6" w:rsidP="009E196E">
      <w:pPr>
        <w:spacing w:after="0" w:line="240" w:lineRule="auto"/>
      </w:pPr>
      <w:r>
        <w:separator/>
      </w:r>
    </w:p>
  </w:footnote>
  <w:footnote w:type="continuationSeparator" w:id="0">
    <w:p w:rsidR="005E1DA6" w:rsidRDefault="005E1DA6" w:rsidP="009E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4FD26389"/>
    <w:multiLevelType w:val="hybridMultilevel"/>
    <w:tmpl w:val="9514B3B0"/>
    <w:lvl w:ilvl="0" w:tplc="F454EE0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E011DD2"/>
    <w:multiLevelType w:val="hybridMultilevel"/>
    <w:tmpl w:val="D000481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842E99"/>
    <w:multiLevelType w:val="hybridMultilevel"/>
    <w:tmpl w:val="AF443F62"/>
    <w:lvl w:ilvl="0" w:tplc="F956DF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6F09E9"/>
    <w:multiLevelType w:val="hybridMultilevel"/>
    <w:tmpl w:val="BE7AE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
  </w:num>
  <w:num w:numId="8">
    <w:abstractNumId w:val="2"/>
  </w:num>
  <w:num w:numId="9">
    <w:abstractNumId w:val="9"/>
  </w:num>
  <w:num w:numId="10">
    <w:abstractNumId w:val="7"/>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7E"/>
    <w:rsid w:val="00007501"/>
    <w:rsid w:val="00033723"/>
    <w:rsid w:val="000431BB"/>
    <w:rsid w:val="00047408"/>
    <w:rsid w:val="00067C08"/>
    <w:rsid w:val="00073624"/>
    <w:rsid w:val="000C287F"/>
    <w:rsid w:val="000F519C"/>
    <w:rsid w:val="00126532"/>
    <w:rsid w:val="00153B8B"/>
    <w:rsid w:val="0015760B"/>
    <w:rsid w:val="001B04BF"/>
    <w:rsid w:val="001B4CD9"/>
    <w:rsid w:val="001B5831"/>
    <w:rsid w:val="001C366F"/>
    <w:rsid w:val="002557F1"/>
    <w:rsid w:val="00264E96"/>
    <w:rsid w:val="0027547E"/>
    <w:rsid w:val="002915EE"/>
    <w:rsid w:val="002B3725"/>
    <w:rsid w:val="003F104E"/>
    <w:rsid w:val="00422271"/>
    <w:rsid w:val="004D4F68"/>
    <w:rsid w:val="004E3E88"/>
    <w:rsid w:val="005248C3"/>
    <w:rsid w:val="0055164F"/>
    <w:rsid w:val="005770E4"/>
    <w:rsid w:val="00592806"/>
    <w:rsid w:val="005C553F"/>
    <w:rsid w:val="005E1DA6"/>
    <w:rsid w:val="00610C1A"/>
    <w:rsid w:val="00624DA0"/>
    <w:rsid w:val="006305C1"/>
    <w:rsid w:val="00647340"/>
    <w:rsid w:val="006F3888"/>
    <w:rsid w:val="006F7746"/>
    <w:rsid w:val="0076427A"/>
    <w:rsid w:val="00766B25"/>
    <w:rsid w:val="00775A75"/>
    <w:rsid w:val="00785B59"/>
    <w:rsid w:val="00794B22"/>
    <w:rsid w:val="007E5DEE"/>
    <w:rsid w:val="007F5B9D"/>
    <w:rsid w:val="00803791"/>
    <w:rsid w:val="008321C6"/>
    <w:rsid w:val="00854510"/>
    <w:rsid w:val="008B081B"/>
    <w:rsid w:val="008C6E6D"/>
    <w:rsid w:val="008D06BD"/>
    <w:rsid w:val="008D53C0"/>
    <w:rsid w:val="008D77DC"/>
    <w:rsid w:val="008E7A8E"/>
    <w:rsid w:val="00926176"/>
    <w:rsid w:val="00937592"/>
    <w:rsid w:val="009440CF"/>
    <w:rsid w:val="009C26FD"/>
    <w:rsid w:val="009C70D3"/>
    <w:rsid w:val="009E196E"/>
    <w:rsid w:val="009F1A0A"/>
    <w:rsid w:val="00A169DF"/>
    <w:rsid w:val="00A73FDE"/>
    <w:rsid w:val="00AB1708"/>
    <w:rsid w:val="00B55F75"/>
    <w:rsid w:val="00BC7815"/>
    <w:rsid w:val="00BD3A39"/>
    <w:rsid w:val="00C6118C"/>
    <w:rsid w:val="00CD255F"/>
    <w:rsid w:val="00CD2FB3"/>
    <w:rsid w:val="00D16B9F"/>
    <w:rsid w:val="00D16C6D"/>
    <w:rsid w:val="00D21D3F"/>
    <w:rsid w:val="00D24BEC"/>
    <w:rsid w:val="00D521DC"/>
    <w:rsid w:val="00D96CF6"/>
    <w:rsid w:val="00DA6D2D"/>
    <w:rsid w:val="00E063E5"/>
    <w:rsid w:val="00E158AF"/>
    <w:rsid w:val="00E21F77"/>
    <w:rsid w:val="00E2328B"/>
    <w:rsid w:val="00E478BF"/>
    <w:rsid w:val="00E82745"/>
    <w:rsid w:val="00E83BD8"/>
    <w:rsid w:val="00E92119"/>
    <w:rsid w:val="00F04BBA"/>
    <w:rsid w:val="00F44D89"/>
    <w:rsid w:val="00F71430"/>
    <w:rsid w:val="00F85FB4"/>
    <w:rsid w:val="00F96858"/>
    <w:rsid w:val="00FD6DFD"/>
    <w:rsid w:val="00FF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7E"/>
    <w:rPr>
      <w:rFonts w:ascii="Calibri" w:eastAsia="Calibri" w:hAnsi="Calibri" w:cs="Times New Roman"/>
    </w:rPr>
  </w:style>
  <w:style w:type="paragraph" w:styleId="3">
    <w:name w:val="heading 3"/>
    <w:basedOn w:val="a"/>
    <w:next w:val="a"/>
    <w:link w:val="30"/>
    <w:uiPriority w:val="9"/>
    <w:semiHidden/>
    <w:unhideWhenUsed/>
    <w:qFormat/>
    <w:rsid w:val="0027547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7547E"/>
    <w:rPr>
      <w:rFonts w:ascii="Cambria" w:eastAsia="Times New Roman" w:hAnsi="Cambria" w:cs="Times New Roman"/>
      <w:b/>
      <w:bCs/>
      <w:sz w:val="26"/>
      <w:szCs w:val="26"/>
    </w:rPr>
  </w:style>
  <w:style w:type="character" w:styleId="a3">
    <w:name w:val="Hyperlink"/>
    <w:basedOn w:val="a0"/>
    <w:uiPriority w:val="99"/>
    <w:semiHidden/>
    <w:unhideWhenUsed/>
    <w:rsid w:val="0027547E"/>
    <w:rPr>
      <w:color w:val="0000FF"/>
      <w:u w:val="single"/>
    </w:rPr>
  </w:style>
  <w:style w:type="paragraph" w:styleId="a4">
    <w:name w:val="Normal (Web)"/>
    <w:basedOn w:val="a"/>
    <w:uiPriority w:val="99"/>
    <w:unhideWhenUsed/>
    <w:rsid w:val="0027547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27547E"/>
    <w:pPr>
      <w:ind w:left="708"/>
    </w:pPr>
  </w:style>
  <w:style w:type="character" w:styleId="a6">
    <w:name w:val="Strong"/>
    <w:basedOn w:val="a0"/>
    <w:uiPriority w:val="22"/>
    <w:qFormat/>
    <w:rsid w:val="0027547E"/>
    <w:rPr>
      <w:b/>
      <w:bCs/>
    </w:rPr>
  </w:style>
  <w:style w:type="paragraph" w:styleId="a7">
    <w:name w:val="Balloon Text"/>
    <w:basedOn w:val="a"/>
    <w:link w:val="a8"/>
    <w:uiPriority w:val="99"/>
    <w:semiHidden/>
    <w:unhideWhenUsed/>
    <w:rsid w:val="002754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47E"/>
    <w:rPr>
      <w:rFonts w:ascii="Tahoma" w:eastAsia="Calibri" w:hAnsi="Tahoma" w:cs="Tahoma"/>
      <w:sz w:val="16"/>
      <w:szCs w:val="16"/>
    </w:rPr>
  </w:style>
  <w:style w:type="character" w:customStyle="1" w:styleId="name">
    <w:name w:val="name"/>
    <w:basedOn w:val="a0"/>
    <w:rsid w:val="001C366F"/>
  </w:style>
  <w:style w:type="character" w:customStyle="1" w:styleId="1">
    <w:name w:val="Дата1"/>
    <w:basedOn w:val="a0"/>
    <w:rsid w:val="001C366F"/>
  </w:style>
  <w:style w:type="character" w:styleId="a9">
    <w:name w:val="Emphasis"/>
    <w:basedOn w:val="a0"/>
    <w:uiPriority w:val="20"/>
    <w:qFormat/>
    <w:rsid w:val="001C366F"/>
    <w:rPr>
      <w:i/>
      <w:iCs/>
    </w:rPr>
  </w:style>
  <w:style w:type="paragraph" w:styleId="aa">
    <w:name w:val="Body Text Indent"/>
    <w:basedOn w:val="a"/>
    <w:link w:val="ab"/>
    <w:uiPriority w:val="99"/>
    <w:rsid w:val="00CD2FB3"/>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uiPriority w:val="99"/>
    <w:rsid w:val="00CD2FB3"/>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9E19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196E"/>
    <w:rPr>
      <w:rFonts w:ascii="Calibri" w:eastAsia="Calibri" w:hAnsi="Calibri" w:cs="Times New Roman"/>
    </w:rPr>
  </w:style>
  <w:style w:type="paragraph" w:styleId="ae">
    <w:name w:val="footer"/>
    <w:basedOn w:val="a"/>
    <w:link w:val="af"/>
    <w:uiPriority w:val="99"/>
    <w:unhideWhenUsed/>
    <w:rsid w:val="009E1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19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7E"/>
    <w:rPr>
      <w:rFonts w:ascii="Calibri" w:eastAsia="Calibri" w:hAnsi="Calibri" w:cs="Times New Roman"/>
    </w:rPr>
  </w:style>
  <w:style w:type="paragraph" w:styleId="3">
    <w:name w:val="heading 3"/>
    <w:basedOn w:val="a"/>
    <w:next w:val="a"/>
    <w:link w:val="30"/>
    <w:uiPriority w:val="9"/>
    <w:semiHidden/>
    <w:unhideWhenUsed/>
    <w:qFormat/>
    <w:rsid w:val="0027547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7547E"/>
    <w:rPr>
      <w:rFonts w:ascii="Cambria" w:eastAsia="Times New Roman" w:hAnsi="Cambria" w:cs="Times New Roman"/>
      <w:b/>
      <w:bCs/>
      <w:sz w:val="26"/>
      <w:szCs w:val="26"/>
    </w:rPr>
  </w:style>
  <w:style w:type="character" w:styleId="a3">
    <w:name w:val="Hyperlink"/>
    <w:basedOn w:val="a0"/>
    <w:uiPriority w:val="99"/>
    <w:semiHidden/>
    <w:unhideWhenUsed/>
    <w:rsid w:val="0027547E"/>
    <w:rPr>
      <w:color w:val="0000FF"/>
      <w:u w:val="single"/>
    </w:rPr>
  </w:style>
  <w:style w:type="paragraph" w:styleId="a4">
    <w:name w:val="Normal (Web)"/>
    <w:basedOn w:val="a"/>
    <w:uiPriority w:val="99"/>
    <w:unhideWhenUsed/>
    <w:rsid w:val="0027547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27547E"/>
    <w:pPr>
      <w:ind w:left="708"/>
    </w:pPr>
  </w:style>
  <w:style w:type="character" w:styleId="a6">
    <w:name w:val="Strong"/>
    <w:basedOn w:val="a0"/>
    <w:uiPriority w:val="22"/>
    <w:qFormat/>
    <w:rsid w:val="0027547E"/>
    <w:rPr>
      <w:b/>
      <w:bCs/>
    </w:rPr>
  </w:style>
  <w:style w:type="paragraph" w:styleId="a7">
    <w:name w:val="Balloon Text"/>
    <w:basedOn w:val="a"/>
    <w:link w:val="a8"/>
    <w:uiPriority w:val="99"/>
    <w:semiHidden/>
    <w:unhideWhenUsed/>
    <w:rsid w:val="002754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47E"/>
    <w:rPr>
      <w:rFonts w:ascii="Tahoma" w:eastAsia="Calibri" w:hAnsi="Tahoma" w:cs="Tahoma"/>
      <w:sz w:val="16"/>
      <w:szCs w:val="16"/>
    </w:rPr>
  </w:style>
  <w:style w:type="character" w:customStyle="1" w:styleId="name">
    <w:name w:val="name"/>
    <w:basedOn w:val="a0"/>
    <w:rsid w:val="001C366F"/>
  </w:style>
  <w:style w:type="character" w:customStyle="1" w:styleId="1">
    <w:name w:val="Дата1"/>
    <w:basedOn w:val="a0"/>
    <w:rsid w:val="001C366F"/>
  </w:style>
  <w:style w:type="character" w:styleId="a9">
    <w:name w:val="Emphasis"/>
    <w:basedOn w:val="a0"/>
    <w:uiPriority w:val="20"/>
    <w:qFormat/>
    <w:rsid w:val="001C366F"/>
    <w:rPr>
      <w:i/>
      <w:iCs/>
    </w:rPr>
  </w:style>
  <w:style w:type="paragraph" w:styleId="aa">
    <w:name w:val="Body Text Indent"/>
    <w:basedOn w:val="a"/>
    <w:link w:val="ab"/>
    <w:uiPriority w:val="99"/>
    <w:rsid w:val="00CD2FB3"/>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uiPriority w:val="99"/>
    <w:rsid w:val="00CD2FB3"/>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9E19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196E"/>
    <w:rPr>
      <w:rFonts w:ascii="Calibri" w:eastAsia="Calibri" w:hAnsi="Calibri" w:cs="Times New Roman"/>
    </w:rPr>
  </w:style>
  <w:style w:type="paragraph" w:styleId="ae">
    <w:name w:val="footer"/>
    <w:basedOn w:val="a"/>
    <w:link w:val="af"/>
    <w:uiPriority w:val="99"/>
    <w:unhideWhenUsed/>
    <w:rsid w:val="009E1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19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6311">
      <w:bodyDiv w:val="1"/>
      <w:marLeft w:val="0"/>
      <w:marRight w:val="0"/>
      <w:marTop w:val="0"/>
      <w:marBottom w:val="0"/>
      <w:divBdr>
        <w:top w:val="none" w:sz="0" w:space="0" w:color="auto"/>
        <w:left w:val="none" w:sz="0" w:space="0" w:color="auto"/>
        <w:bottom w:val="none" w:sz="0" w:space="0" w:color="auto"/>
        <w:right w:val="none" w:sz="0" w:space="0" w:color="auto"/>
      </w:divBdr>
    </w:div>
    <w:div w:id="1205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Принято 38 членов в НП "БалтЭнергоЭффект" в 2012 году</a:t>
            </a:r>
          </a:p>
        </c:rich>
      </c:tx>
      <c:layout/>
      <c:overlay val="0"/>
    </c:title>
    <c:autoTitleDeleted val="0"/>
    <c:plotArea>
      <c:layout>
        <c:manualLayout>
          <c:layoutTarget val="inner"/>
          <c:xMode val="edge"/>
          <c:yMode val="edge"/>
          <c:x val="5.7783337283508533E-2"/>
          <c:y val="0.33777327626577835"/>
          <c:w val="0.91769046427724954"/>
          <c:h val="0.50703085350845722"/>
        </c:manualLayout>
      </c:layout>
      <c:barChart>
        <c:barDir val="col"/>
        <c:grouping val="clustered"/>
        <c:varyColors val="0"/>
        <c:ser>
          <c:idx val="0"/>
          <c:order val="0"/>
          <c:tx>
            <c:strRef>
              <c:f>Лист1!$B$1</c:f>
              <c:strCache>
                <c:ptCount val="1"/>
                <c:pt idx="0">
                  <c:v>Принято членов в НП "БалтЭнергоЭффект" в 2010 году</c:v>
                </c:pt>
              </c:strCache>
            </c:strRef>
          </c:tx>
          <c:invertIfNegative val="0"/>
          <c:dLbls>
            <c:dLbl>
              <c:idx val="0"/>
              <c:layout>
                <c:manualLayout>
                  <c:x val="6.6291017567119657E-3"/>
                  <c:y val="0.241179097811523"/>
                </c:manualLayout>
              </c:layout>
              <c:showLegendKey val="0"/>
              <c:showVal val="1"/>
              <c:showCatName val="0"/>
              <c:showSerName val="0"/>
              <c:showPercent val="0"/>
              <c:showBubbleSize val="0"/>
            </c:dLbl>
            <c:dLbl>
              <c:idx val="1"/>
              <c:layout>
                <c:manualLayout>
                  <c:x val="0"/>
                  <c:y val="0.32155471564351035"/>
                </c:manualLayout>
              </c:layout>
              <c:showLegendKey val="0"/>
              <c:showVal val="1"/>
              <c:showCatName val="0"/>
              <c:showSerName val="0"/>
              <c:showPercent val="0"/>
              <c:showBubbleSize val="0"/>
            </c:dLbl>
            <c:txPr>
              <a:bodyPr/>
              <a:lstStyle/>
              <a:p>
                <a:pPr>
                  <a:defRPr sz="2000" b="1"/>
                </a:pPr>
                <a:endParaRPr lang="ru-RU"/>
              </a:p>
            </c:txPr>
            <c:showLegendKey val="0"/>
            <c:showVal val="0"/>
            <c:showCatName val="0"/>
            <c:showSerName val="0"/>
            <c:showPercent val="0"/>
            <c:showBubbleSize val="0"/>
          </c:dLbls>
          <c:cat>
            <c:strRef>
              <c:f>Лист1!$A$2:$A$3</c:f>
              <c:strCache>
                <c:ptCount val="2"/>
                <c:pt idx="0">
                  <c:v>Санкт-Петербург и ЛО</c:v>
                </c:pt>
                <c:pt idx="1">
                  <c:v>Регионы РФ</c:v>
                </c:pt>
              </c:strCache>
            </c:strRef>
          </c:cat>
          <c:val>
            <c:numRef>
              <c:f>Лист1!$B$2:$B$3</c:f>
              <c:numCache>
                <c:formatCode>General</c:formatCode>
                <c:ptCount val="2"/>
                <c:pt idx="0">
                  <c:v>16</c:v>
                </c:pt>
                <c:pt idx="1">
                  <c:v>22</c:v>
                </c:pt>
              </c:numCache>
            </c:numRef>
          </c:val>
        </c:ser>
        <c:dLbls>
          <c:showLegendKey val="0"/>
          <c:showVal val="0"/>
          <c:showCatName val="0"/>
          <c:showSerName val="0"/>
          <c:showPercent val="0"/>
          <c:showBubbleSize val="0"/>
        </c:dLbls>
        <c:gapWidth val="150"/>
        <c:axId val="161835648"/>
        <c:axId val="162616832"/>
      </c:barChart>
      <c:catAx>
        <c:axId val="161835648"/>
        <c:scaling>
          <c:orientation val="minMax"/>
        </c:scaling>
        <c:delete val="0"/>
        <c:axPos val="b"/>
        <c:numFmt formatCode="General" sourceLinked="1"/>
        <c:majorTickMark val="none"/>
        <c:minorTickMark val="none"/>
        <c:tickLblPos val="nextTo"/>
        <c:txPr>
          <a:bodyPr/>
          <a:lstStyle/>
          <a:p>
            <a:pPr>
              <a:defRPr sz="1400" b="1">
                <a:latin typeface="Times New Roman" pitchFamily="18" charset="0"/>
                <a:cs typeface="Times New Roman" pitchFamily="18" charset="0"/>
              </a:defRPr>
            </a:pPr>
            <a:endParaRPr lang="ru-RU"/>
          </a:p>
        </c:txPr>
        <c:crossAx val="162616832"/>
        <c:crosses val="autoZero"/>
        <c:auto val="1"/>
        <c:lblAlgn val="ctr"/>
        <c:lblOffset val="100"/>
        <c:noMultiLvlLbl val="0"/>
      </c:catAx>
      <c:valAx>
        <c:axId val="162616832"/>
        <c:scaling>
          <c:orientation val="minMax"/>
        </c:scaling>
        <c:delete val="0"/>
        <c:axPos val="l"/>
        <c:majorGridlines/>
        <c:numFmt formatCode="General" sourceLinked="1"/>
        <c:majorTickMark val="none"/>
        <c:minorTickMark val="none"/>
        <c:tickLblPos val="nextTo"/>
        <c:crossAx val="1618356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Территориальные управления НП "БалтЭнергоЭффект" в 2012 году</a:t>
            </a:r>
          </a:p>
        </c:rich>
      </c:tx>
      <c:layout/>
      <c:overlay val="0"/>
    </c:title>
    <c:autoTitleDeleted val="0"/>
    <c:plotArea>
      <c:layout/>
      <c:barChart>
        <c:barDir val="col"/>
        <c:grouping val="clustered"/>
        <c:varyColors val="0"/>
        <c:ser>
          <c:idx val="0"/>
          <c:order val="0"/>
          <c:tx>
            <c:strRef>
              <c:f>Лист1!$B$1</c:f>
              <c:strCache>
                <c:ptCount val="1"/>
                <c:pt idx="0">
                  <c:v>Территориальные управления НП "БалтЭнергоЭффект" в 2010 году</c:v>
                </c:pt>
              </c:strCache>
            </c:strRef>
          </c:tx>
          <c:invertIfNegative val="0"/>
          <c:dLbls>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Калининградская область</c:v>
                </c:pt>
                <c:pt idx="1">
                  <c:v>Иркутская область</c:v>
                </c:pt>
                <c:pt idx="2">
                  <c:v>По Югу России</c:v>
                </c:pt>
              </c:strCache>
            </c:strRef>
          </c:cat>
          <c:val>
            <c:numRef>
              <c:f>Лист1!$B$2:$B$4</c:f>
              <c:numCache>
                <c:formatCode>General</c:formatCode>
                <c:ptCount val="3"/>
                <c:pt idx="0">
                  <c:v>9</c:v>
                </c:pt>
                <c:pt idx="1">
                  <c:v>3</c:v>
                </c:pt>
                <c:pt idx="2">
                  <c:v>22</c:v>
                </c:pt>
              </c:numCache>
            </c:numRef>
          </c:val>
        </c:ser>
        <c:dLbls>
          <c:showLegendKey val="0"/>
          <c:showVal val="0"/>
          <c:showCatName val="0"/>
          <c:showSerName val="0"/>
          <c:showPercent val="0"/>
          <c:showBubbleSize val="0"/>
        </c:dLbls>
        <c:gapWidth val="150"/>
        <c:axId val="166830080"/>
        <c:axId val="166832384"/>
      </c:barChart>
      <c:catAx>
        <c:axId val="166830080"/>
        <c:scaling>
          <c:orientation val="minMax"/>
        </c:scaling>
        <c:delete val="0"/>
        <c:axPos val="b"/>
        <c:numFmt formatCode="General" sourceLinked="1"/>
        <c:majorTickMark val="out"/>
        <c:minorTickMark val="none"/>
        <c:tickLblPos val="nextTo"/>
        <c:txPr>
          <a:bodyPr/>
          <a:lstStyle/>
          <a:p>
            <a:pPr>
              <a:defRPr sz="1600" b="1">
                <a:latin typeface="Times New Roman" pitchFamily="18" charset="0"/>
                <a:cs typeface="Times New Roman" pitchFamily="18" charset="0"/>
              </a:defRPr>
            </a:pPr>
            <a:endParaRPr lang="ru-RU"/>
          </a:p>
        </c:txPr>
        <c:crossAx val="166832384"/>
        <c:crosses val="autoZero"/>
        <c:auto val="1"/>
        <c:lblAlgn val="ctr"/>
        <c:lblOffset val="100"/>
        <c:noMultiLvlLbl val="0"/>
      </c:catAx>
      <c:valAx>
        <c:axId val="166832384"/>
        <c:scaling>
          <c:orientation val="minMax"/>
        </c:scaling>
        <c:delete val="0"/>
        <c:axPos val="l"/>
        <c:majorGridlines/>
        <c:numFmt formatCode="General" sourceLinked="1"/>
        <c:majorTickMark val="out"/>
        <c:minorTickMark val="none"/>
        <c:tickLblPos val="nextTo"/>
        <c:crossAx val="1668300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приема членов в НП "БалтЭнергоЭффект"</a:t>
            </a:r>
          </a:p>
        </c:rich>
      </c:tx>
      <c:layout/>
      <c:overlay val="0"/>
    </c:title>
    <c:autoTitleDeleted val="0"/>
    <c:plotArea>
      <c:layout/>
      <c:barChart>
        <c:barDir val="col"/>
        <c:grouping val="clustered"/>
        <c:varyColors val="0"/>
        <c:ser>
          <c:idx val="0"/>
          <c:order val="0"/>
          <c:tx>
            <c:strRef>
              <c:f>Лист1!$B$1</c:f>
              <c:strCache>
                <c:ptCount val="1"/>
                <c:pt idx="0">
                  <c:v>Динамика количества членов НП "Балтэнергоэффект" в 2010 году</c:v>
                </c:pt>
              </c:strCache>
            </c:strRef>
          </c:tx>
          <c:invertIfNegative val="0"/>
          <c:dLbls>
            <c:dLbl>
              <c:idx val="0"/>
              <c:layout>
                <c:manualLayout>
                  <c:x val="-5.2552554105854497E-3"/>
                  <c:y val="-1.4094949768701367E-2"/>
                </c:manualLayout>
              </c:layout>
              <c:dLblPos val="outEnd"/>
              <c:showLegendKey val="0"/>
              <c:showVal val="1"/>
              <c:showCatName val="0"/>
              <c:showSerName val="0"/>
              <c:showPercent val="0"/>
              <c:showBubbleSize val="0"/>
            </c:dLbl>
            <c:dLbl>
              <c:idx val="1"/>
              <c:layout>
                <c:manualLayout>
                  <c:x val="0"/>
                  <c:y val="-4.6615937773928796E-3"/>
                </c:manualLayout>
              </c:layout>
              <c:dLblPos val="outEnd"/>
              <c:showLegendKey val="0"/>
              <c:showVal val="1"/>
              <c:showCatName val="0"/>
              <c:showSerName val="0"/>
              <c:showPercent val="0"/>
              <c:showBubbleSize val="0"/>
            </c:dLbl>
            <c:dLbl>
              <c:idx val="2"/>
              <c:layout>
                <c:manualLayout>
                  <c:x val="-5.2552554105854497E-3"/>
                  <c:y val="-6.9413459571672888E-3"/>
                </c:manualLayout>
              </c:layout>
              <c:dLblPos val="outEnd"/>
              <c:showLegendKey val="0"/>
              <c:showVal val="1"/>
              <c:showCatName val="0"/>
              <c:showSerName val="0"/>
              <c:showPercent val="0"/>
              <c:showBubbleSize val="0"/>
            </c:dLbl>
            <c:dLbl>
              <c:idx val="3"/>
              <c:layout>
                <c:manualLayout>
                  <c:x val="0"/>
                  <c:y val="-7.6324692822856864E-3"/>
                </c:manualLayout>
              </c:layout>
              <c:dLblPos val="outEnd"/>
              <c:showLegendKey val="0"/>
              <c:showVal val="1"/>
              <c:showCatName val="0"/>
              <c:showSerName val="0"/>
              <c:showPercent val="0"/>
              <c:showBubbleSize val="0"/>
            </c:dLbl>
            <c:dLbl>
              <c:idx val="5"/>
              <c:layout>
                <c:manualLayout>
                  <c:x val="0"/>
                  <c:y val="-1.4094949768701367E-2"/>
                </c:manualLayout>
              </c:layout>
              <c:dLblPos val="outEnd"/>
              <c:showLegendKey val="0"/>
              <c:showVal val="1"/>
              <c:showCatName val="0"/>
              <c:showSerName val="0"/>
              <c:showPercent val="0"/>
              <c:showBubbleSize val="0"/>
            </c:dLbl>
            <c:dLbl>
              <c:idx val="6"/>
              <c:layout>
                <c:manualLayout>
                  <c:x val="0"/>
                  <c:y val="-7.6324692822856864E-3"/>
                </c:manualLayout>
              </c:layout>
              <c:dLblPos val="outEnd"/>
              <c:showLegendKey val="0"/>
              <c:showVal val="1"/>
              <c:showCatName val="0"/>
              <c:showSerName val="0"/>
              <c:showPercent val="0"/>
              <c:showBubbleSize val="0"/>
            </c:dLbl>
            <c:dLbl>
              <c:idx val="7"/>
              <c:layout>
                <c:manualLayout>
                  <c:x val="0"/>
                  <c:y val="-4.9816330854910738E-2"/>
                </c:manualLayout>
              </c:layout>
              <c:dLblPos val="outEnd"/>
              <c:showLegendKey val="0"/>
              <c:showVal val="1"/>
              <c:showCatName val="0"/>
              <c:showSerName val="0"/>
              <c:showPercent val="0"/>
              <c:showBubbleSize val="0"/>
            </c:dLbl>
            <c:dLbl>
              <c:idx val="8"/>
              <c:layout>
                <c:manualLayout>
                  <c:x val="-5.2552554105854497E-3"/>
                  <c:y val="-1.5580387521147749E-2"/>
                </c:manualLayout>
              </c:layout>
              <c:dLblPos val="outEnd"/>
              <c:showLegendKey val="0"/>
              <c:showVal val="1"/>
              <c:showCatName val="0"/>
              <c:showSerName val="0"/>
              <c:showPercent val="0"/>
              <c:showBubbleSize val="0"/>
            </c:dLbl>
            <c:dLbl>
              <c:idx val="9"/>
              <c:layout>
                <c:manualLayout>
                  <c:x val="-4.9424228837820954E-3"/>
                  <c:y val="-6.9255551479323408E-3"/>
                </c:manualLayout>
              </c:layout>
              <c:dLblPos val="outEnd"/>
              <c:showLegendKey val="0"/>
              <c:showVal val="1"/>
              <c:showCatName val="0"/>
              <c:showSerName val="0"/>
              <c:showPercent val="0"/>
              <c:showBubbleSize val="0"/>
            </c:dLbl>
            <c:dLbl>
              <c:idx val="10"/>
              <c:layout>
                <c:manualLayout>
                  <c:x val="-7.8828831158781754E-3"/>
                  <c:y val="-1.4012323441309418E-2"/>
                </c:manualLayout>
              </c:layout>
              <c:dLblPos val="outEnd"/>
              <c:showLegendKey val="0"/>
              <c:showVal val="1"/>
              <c:showCatName val="0"/>
              <c:showSerName val="0"/>
              <c:showPercent val="0"/>
              <c:showBubbleSize val="0"/>
            </c:dLbl>
            <c:txPr>
              <a:bodyPr/>
              <a:lstStyle/>
              <a:p>
                <a:pPr>
                  <a:defRPr sz="1400" b="1"/>
                </a:pPr>
                <a:endParaRPr lang="ru-RU"/>
              </a:p>
            </c:txPr>
            <c:dLblPos val="ctr"/>
            <c:showLegendKey val="0"/>
            <c:showVal val="1"/>
            <c:showCatName val="0"/>
            <c:showSerName val="0"/>
            <c:showPercent val="0"/>
            <c:showBubbleSize val="0"/>
            <c:showLeaderLines val="0"/>
          </c:dLbls>
          <c:cat>
            <c:numRef>
              <c:f>Лист1!$A$2:$A$13</c:f>
              <c:numCache>
                <c:formatCode>mmm\-yy</c:formatCode>
                <c:ptCount val="12"/>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numCache>
            </c:numRef>
          </c:cat>
          <c:val>
            <c:numRef>
              <c:f>Лист1!$B$2:$B$13</c:f>
              <c:numCache>
                <c:formatCode>General</c:formatCode>
                <c:ptCount val="12"/>
                <c:pt idx="0">
                  <c:v>3</c:v>
                </c:pt>
                <c:pt idx="1">
                  <c:v>12</c:v>
                </c:pt>
                <c:pt idx="2">
                  <c:v>8</c:v>
                </c:pt>
                <c:pt idx="3">
                  <c:v>4</c:v>
                </c:pt>
                <c:pt idx="4">
                  <c:v>0</c:v>
                </c:pt>
                <c:pt idx="5">
                  <c:v>3</c:v>
                </c:pt>
                <c:pt idx="6">
                  <c:v>4</c:v>
                </c:pt>
                <c:pt idx="7">
                  <c:v>2</c:v>
                </c:pt>
                <c:pt idx="8">
                  <c:v>1</c:v>
                </c:pt>
                <c:pt idx="9">
                  <c:v>0</c:v>
                </c:pt>
                <c:pt idx="10">
                  <c:v>1</c:v>
                </c:pt>
              </c:numCache>
            </c:numRef>
          </c:val>
        </c:ser>
        <c:dLbls>
          <c:showLegendKey val="0"/>
          <c:showVal val="0"/>
          <c:showCatName val="0"/>
          <c:showSerName val="0"/>
          <c:showPercent val="0"/>
          <c:showBubbleSize val="0"/>
        </c:dLbls>
        <c:gapWidth val="87"/>
        <c:overlap val="66"/>
        <c:axId val="190440192"/>
        <c:axId val="190441728"/>
      </c:barChart>
      <c:dateAx>
        <c:axId val="190440192"/>
        <c:scaling>
          <c:orientation val="minMax"/>
        </c:scaling>
        <c:delete val="0"/>
        <c:axPos val="b"/>
        <c:numFmt formatCode="mmm/yy" sourceLinked="0"/>
        <c:majorTickMark val="out"/>
        <c:minorTickMark val="none"/>
        <c:tickLblPos val="nextTo"/>
        <c:txPr>
          <a:bodyPr/>
          <a:lstStyle/>
          <a:p>
            <a:pPr>
              <a:defRPr>
                <a:solidFill>
                  <a:srgbClr val="FF0000"/>
                </a:solidFill>
              </a:defRPr>
            </a:pPr>
            <a:endParaRPr lang="ru-RU"/>
          </a:p>
        </c:txPr>
        <c:crossAx val="190441728"/>
        <c:crosses val="autoZero"/>
        <c:auto val="1"/>
        <c:lblOffset val="100"/>
        <c:baseTimeUnit val="months"/>
      </c:dateAx>
      <c:valAx>
        <c:axId val="190441728"/>
        <c:scaling>
          <c:orientation val="minMax"/>
        </c:scaling>
        <c:delete val="0"/>
        <c:axPos val="l"/>
        <c:majorGridlines/>
        <c:numFmt formatCode="General" sourceLinked="1"/>
        <c:majorTickMark val="out"/>
        <c:minorTickMark val="none"/>
        <c:tickLblPos val="nextTo"/>
        <c:crossAx val="19044019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dLblPos val="inEnd"/>
              <c:showLegendKey val="0"/>
              <c:showVal val="1"/>
              <c:showCatName val="0"/>
              <c:showSerName val="0"/>
              <c:showPercent val="0"/>
              <c:showBubbleSize val="0"/>
            </c:dLbl>
            <c:dLbl>
              <c:idx val="1"/>
              <c:layout/>
              <c:dLblPos val="inEnd"/>
              <c:showLegendKey val="0"/>
              <c:showVal val="1"/>
              <c:showCatName val="0"/>
              <c:showSerName val="0"/>
              <c:showPercent val="0"/>
              <c:showBubbleSize val="0"/>
            </c:dLbl>
            <c:dLbl>
              <c:idx val="2"/>
              <c:layout/>
              <c:dLblPos val="inEnd"/>
              <c:showLegendKey val="0"/>
              <c:showVal val="1"/>
              <c:showCatName val="0"/>
              <c:showSerName val="0"/>
              <c:showPercent val="0"/>
              <c:showBubbleSize val="0"/>
            </c:dLbl>
            <c:dLbl>
              <c:idx val="3"/>
              <c:layout/>
              <c:tx>
                <c:rich>
                  <a:bodyPr/>
                  <a:lstStyle/>
                  <a:p>
                    <a:r>
                      <a:rPr lang="ru-RU">
                        <a:solidFill>
                          <a:schemeClr val="bg1"/>
                        </a:solidFill>
                      </a:rPr>
                      <a:t>8</a:t>
                    </a:r>
                    <a:endParaRPr lang="en-US"/>
                  </a:p>
                </c:rich>
              </c:tx>
              <c:dLblPos val="inEnd"/>
              <c:showLegendKey val="0"/>
              <c:showVal val="1"/>
              <c:showCatName val="0"/>
              <c:showSerName val="0"/>
              <c:showPercent val="0"/>
              <c:showBubbleSize val="0"/>
            </c:dLbl>
            <c:dLbl>
              <c:idx val="4"/>
              <c:layout/>
              <c:dLblPos val="inEnd"/>
              <c:showLegendKey val="0"/>
              <c:showVal val="1"/>
              <c:showCatName val="0"/>
              <c:showSerName val="0"/>
              <c:showPercent val="0"/>
              <c:showBubbleSize val="0"/>
            </c:dLbl>
            <c:dLbl>
              <c:idx val="5"/>
              <c:layout/>
              <c:dLblPos val="inEnd"/>
              <c:showLegendKey val="0"/>
              <c:showVal val="1"/>
              <c:showCatName val="0"/>
              <c:showSerName val="0"/>
              <c:showPercent val="0"/>
              <c:showBubbleSize val="0"/>
            </c:dLbl>
            <c:dLbl>
              <c:idx val="6"/>
              <c:layout/>
              <c:dLblPos val="inEnd"/>
              <c:showLegendKey val="0"/>
              <c:showVal val="1"/>
              <c:showCatName val="0"/>
              <c:showSerName val="0"/>
              <c:showPercent val="0"/>
              <c:showBubbleSize val="0"/>
            </c:dLbl>
            <c:dLbl>
              <c:idx val="7"/>
              <c:layout/>
              <c:dLblPos val="inEnd"/>
              <c:showLegendKey val="0"/>
              <c:showVal val="1"/>
              <c:showCatName val="0"/>
              <c:showSerName val="0"/>
              <c:showPercent val="0"/>
              <c:showBubbleSize val="0"/>
            </c:dLbl>
            <c:dLbl>
              <c:idx val="8"/>
              <c:layout/>
              <c:dLblPos val="inEnd"/>
              <c:showLegendKey val="0"/>
              <c:showVal val="1"/>
              <c:showCatName val="0"/>
              <c:showSerName val="0"/>
              <c:showPercent val="0"/>
              <c:showBubbleSize val="0"/>
            </c:dLbl>
            <c:dLbl>
              <c:idx val="9"/>
              <c:layout/>
              <c:dLblPos val="inEnd"/>
              <c:showLegendKey val="0"/>
              <c:showVal val="1"/>
              <c:showCatName val="0"/>
              <c:showSerName val="0"/>
              <c:showPercent val="0"/>
              <c:showBubbleSize val="0"/>
            </c:dLbl>
            <c:dLbl>
              <c:idx val="10"/>
              <c:layout/>
              <c:dLblPos val="inEnd"/>
              <c:showLegendKey val="0"/>
              <c:showVal val="1"/>
              <c:showCatName val="0"/>
              <c:showSerName val="0"/>
              <c:showPercent val="0"/>
              <c:showBubbleSize val="0"/>
            </c:dLbl>
            <c:txPr>
              <a:bodyPr/>
              <a:lstStyle/>
              <a:p>
                <a:pPr>
                  <a:defRPr sz="1400">
                    <a:solidFill>
                      <a:schemeClr val="bg1"/>
                    </a:solidFill>
                  </a:defRPr>
                </a:pPr>
                <a:endParaRPr lang="ru-RU"/>
              </a:p>
            </c:txPr>
            <c:dLblPos val="inEnd"/>
            <c:showLegendKey val="0"/>
            <c:showVal val="0"/>
            <c:showCatName val="0"/>
            <c:showSerName val="0"/>
            <c:showPercent val="0"/>
            <c:showBubbleSize val="0"/>
          </c:dLbls>
          <c:cat>
            <c:strRef>
              <c:f>Лист1!$A$2:$A$12</c:f>
              <c:strCache>
                <c:ptCount val="11"/>
                <c:pt idx="0">
                  <c:v>Санкт-Петербург</c:v>
                </c:pt>
                <c:pt idx="1">
                  <c:v>Ростовская область</c:v>
                </c:pt>
                <c:pt idx="2">
                  <c:v>Калининградсакя область</c:v>
                </c:pt>
                <c:pt idx="3">
                  <c:v>Ставропольский край</c:v>
                </c:pt>
                <c:pt idx="4">
                  <c:v>Ленинградская область</c:v>
                </c:pt>
                <c:pt idx="5">
                  <c:v>Мурманская область</c:v>
                </c:pt>
                <c:pt idx="6">
                  <c:v>Псковская область</c:v>
                </c:pt>
                <c:pt idx="7">
                  <c:v>Архангельская область</c:v>
                </c:pt>
                <c:pt idx="8">
                  <c:v>Краснодарский край</c:v>
                </c:pt>
                <c:pt idx="9">
                  <c:v>Самарская область</c:v>
                </c:pt>
                <c:pt idx="10">
                  <c:v>Другие регионы</c:v>
                </c:pt>
              </c:strCache>
            </c:strRef>
          </c:cat>
          <c:val>
            <c:numRef>
              <c:f>Лист1!$B$2:$B$12</c:f>
              <c:numCache>
                <c:formatCode>General</c:formatCode>
                <c:ptCount val="11"/>
                <c:pt idx="0">
                  <c:v>54</c:v>
                </c:pt>
                <c:pt idx="1">
                  <c:v>13</c:v>
                </c:pt>
                <c:pt idx="2">
                  <c:v>9</c:v>
                </c:pt>
                <c:pt idx="3">
                  <c:v>8</c:v>
                </c:pt>
                <c:pt idx="4">
                  <c:v>7</c:v>
                </c:pt>
                <c:pt idx="5">
                  <c:v>6</c:v>
                </c:pt>
                <c:pt idx="6">
                  <c:v>6</c:v>
                </c:pt>
                <c:pt idx="7">
                  <c:v>5</c:v>
                </c:pt>
                <c:pt idx="8">
                  <c:v>4</c:v>
                </c:pt>
                <c:pt idx="9">
                  <c:v>4</c:v>
                </c:pt>
                <c:pt idx="10">
                  <c:v>19</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4243275441633618"/>
          <c:y val="5.2741831184145459E-2"/>
          <c:w val="0.34542730031086533"/>
          <c:h val="0.87467381794666976"/>
        </c:manualLayout>
      </c:layout>
      <c:overlay val="0"/>
      <c:txPr>
        <a:bodyPr/>
        <a:lstStyle/>
        <a:p>
          <a:pPr>
            <a:defRPr sz="1194" b="0" i="0" u="none" strike="noStrike" baseline="0">
              <a:solidFill>
                <a:srgbClr val="000000"/>
              </a:solidFill>
              <a:latin typeface="Arial"/>
              <a:ea typeface="Arial"/>
              <a:cs typeface="Arial"/>
            </a:defRPr>
          </a:pPr>
          <a:endParaRPr lang="ru-RU"/>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Поступление</c:v>
                </c:pt>
              </c:strCache>
            </c:strRef>
          </c:tx>
          <c:spPr>
            <a:solidFill>
              <a:schemeClr val="tx1"/>
            </a:solidFill>
          </c:spPr>
          <c:invertIfNegative val="0"/>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0;[Red]\-0</c:formatCode>
                <c:ptCount val="12"/>
                <c:pt idx="0">
                  <c:v>1205</c:v>
                </c:pt>
                <c:pt idx="1">
                  <c:v>1214</c:v>
                </c:pt>
                <c:pt idx="2">
                  <c:v>1347</c:v>
                </c:pt>
                <c:pt idx="3">
                  <c:v>1197</c:v>
                </c:pt>
                <c:pt idx="4">
                  <c:v>578</c:v>
                </c:pt>
                <c:pt idx="5">
                  <c:v>697</c:v>
                </c:pt>
                <c:pt idx="6">
                  <c:v>638</c:v>
                </c:pt>
                <c:pt idx="7">
                  <c:v>989</c:v>
                </c:pt>
                <c:pt idx="8">
                  <c:v>522</c:v>
                </c:pt>
                <c:pt idx="9">
                  <c:v>665</c:v>
                </c:pt>
              </c:numCache>
            </c:numRef>
          </c:val>
        </c:ser>
        <c:ser>
          <c:idx val="1"/>
          <c:order val="1"/>
          <c:tx>
            <c:strRef>
              <c:f>Лист1!$C$1</c:f>
              <c:strCache>
                <c:ptCount val="1"/>
                <c:pt idx="0">
                  <c:v>Задолженность</c:v>
                </c:pt>
              </c:strCache>
            </c:strRef>
          </c:tx>
          <c:spPr>
            <a:solidFill>
              <a:schemeClr val="accent6"/>
            </a:solidFill>
          </c:spPr>
          <c:invertIfNegative val="0"/>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General</c:formatCode>
                <c:ptCount val="12"/>
                <c:pt idx="0" formatCode="0;[Red]\-0">
                  <c:v>9248</c:v>
                </c:pt>
                <c:pt idx="1">
                  <c:v>9100</c:v>
                </c:pt>
                <c:pt idx="2">
                  <c:v>8462</c:v>
                </c:pt>
                <c:pt idx="3">
                  <c:v>7598</c:v>
                </c:pt>
                <c:pt idx="4">
                  <c:v>7448</c:v>
                </c:pt>
                <c:pt idx="5">
                  <c:v>5730</c:v>
                </c:pt>
                <c:pt idx="6">
                  <c:v>5257</c:v>
                </c:pt>
                <c:pt idx="7">
                  <c:v>4282</c:v>
                </c:pt>
                <c:pt idx="8" formatCode="0;[Red]\-0">
                  <c:v>3125</c:v>
                </c:pt>
                <c:pt idx="9">
                  <c:v>2481</c:v>
                </c:pt>
              </c:numCache>
            </c:numRef>
          </c:val>
        </c:ser>
        <c:dLbls>
          <c:showLegendKey val="0"/>
          <c:showVal val="0"/>
          <c:showCatName val="0"/>
          <c:showSerName val="0"/>
          <c:showPercent val="0"/>
          <c:showBubbleSize val="0"/>
        </c:dLbls>
        <c:gapWidth val="150"/>
        <c:shape val="cylinder"/>
        <c:axId val="202063232"/>
        <c:axId val="202065408"/>
        <c:axId val="0"/>
      </c:bar3DChart>
      <c:catAx>
        <c:axId val="202063232"/>
        <c:scaling>
          <c:orientation val="minMax"/>
        </c:scaling>
        <c:delete val="0"/>
        <c:axPos val="b"/>
        <c:numFmt formatCode="General" sourceLinked="1"/>
        <c:majorTickMark val="out"/>
        <c:minorTickMark val="none"/>
        <c:tickLblPos val="nextTo"/>
        <c:crossAx val="202065408"/>
        <c:crosses val="autoZero"/>
        <c:auto val="1"/>
        <c:lblAlgn val="ctr"/>
        <c:lblOffset val="100"/>
        <c:noMultiLvlLbl val="0"/>
      </c:catAx>
      <c:valAx>
        <c:axId val="202065408"/>
        <c:scaling>
          <c:orientation val="minMax"/>
        </c:scaling>
        <c:delete val="0"/>
        <c:axPos val="l"/>
        <c:majorGridlines/>
        <c:numFmt formatCode="0;[Red]\-0" sourceLinked="1"/>
        <c:majorTickMark val="out"/>
        <c:minorTickMark val="none"/>
        <c:tickLblPos val="nextTo"/>
        <c:crossAx val="202063232"/>
        <c:crosses val="autoZero"/>
        <c:crossBetween val="between"/>
      </c:valAx>
      <c:spPr>
        <a:noFill/>
        <a:ln w="25324">
          <a:noFill/>
        </a:ln>
      </c:spPr>
    </c:plotArea>
    <c:legend>
      <c:legendPos val="r"/>
      <c:legendEntry>
        <c:idx val="0"/>
        <c:txPr>
          <a:bodyPr/>
          <a:lstStyle/>
          <a:p>
            <a:pPr>
              <a:defRPr baseline="0">
                <a:solidFill>
                  <a:schemeClr val="tx1"/>
                </a:solidFill>
              </a:defRPr>
            </a:pPr>
            <a:endParaRPr lang="ru-RU"/>
          </a:p>
        </c:txPr>
      </c:legendEntry>
      <c:layout/>
      <c:overlay val="0"/>
      <c:spPr>
        <a:solidFill>
          <a:schemeClr val="bg1"/>
        </a:solidFill>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Доходы</c:v>
                </c:pt>
              </c:strCache>
            </c:strRef>
          </c:tx>
          <c:spPr>
            <a:solidFill>
              <a:schemeClr val="accent6"/>
            </a:solidFill>
          </c:spPr>
          <c:invertIfNegative val="0"/>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c:formatCode>
                <c:ptCount val="12"/>
                <c:pt idx="0">
                  <c:v>1205</c:v>
                </c:pt>
                <c:pt idx="1">
                  <c:v>1214</c:v>
                </c:pt>
                <c:pt idx="2">
                  <c:v>1347</c:v>
                </c:pt>
                <c:pt idx="3">
                  <c:v>1197</c:v>
                </c:pt>
                <c:pt idx="4">
                  <c:v>578</c:v>
                </c:pt>
                <c:pt idx="5">
                  <c:v>697</c:v>
                </c:pt>
                <c:pt idx="6">
                  <c:v>637</c:v>
                </c:pt>
                <c:pt idx="7">
                  <c:v>988</c:v>
                </c:pt>
                <c:pt idx="8" formatCode="0.00">
                  <c:v>522</c:v>
                </c:pt>
                <c:pt idx="9">
                  <c:v>665</c:v>
                </c:pt>
              </c:numCache>
            </c:numRef>
          </c:val>
        </c:ser>
        <c:ser>
          <c:idx val="1"/>
          <c:order val="1"/>
          <c:tx>
            <c:strRef>
              <c:f>Лист1!$C$1</c:f>
              <c:strCache>
                <c:ptCount val="1"/>
                <c:pt idx="0">
                  <c:v>Расходы</c:v>
                </c:pt>
              </c:strCache>
            </c:strRef>
          </c:tx>
          <c:spPr>
            <a:solidFill>
              <a:schemeClr val="tx1"/>
            </a:solidFill>
          </c:spPr>
          <c:invertIfNegative val="0"/>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0.00</c:formatCode>
                <c:ptCount val="12"/>
                <c:pt idx="0">
                  <c:v>560</c:v>
                </c:pt>
                <c:pt idx="1">
                  <c:v>862</c:v>
                </c:pt>
                <c:pt idx="2">
                  <c:v>962</c:v>
                </c:pt>
                <c:pt idx="3">
                  <c:v>498</c:v>
                </c:pt>
                <c:pt idx="4">
                  <c:v>336</c:v>
                </c:pt>
                <c:pt idx="5">
                  <c:v>1297</c:v>
                </c:pt>
                <c:pt idx="6">
                  <c:v>463</c:v>
                </c:pt>
                <c:pt idx="7">
                  <c:v>547</c:v>
                </c:pt>
                <c:pt idx="8">
                  <c:v>1026</c:v>
                </c:pt>
                <c:pt idx="9">
                  <c:v>624</c:v>
                </c:pt>
              </c:numCache>
            </c:numRef>
          </c:val>
        </c:ser>
        <c:dLbls>
          <c:showLegendKey val="0"/>
          <c:showVal val="0"/>
          <c:showCatName val="0"/>
          <c:showSerName val="0"/>
          <c:showPercent val="0"/>
          <c:showBubbleSize val="0"/>
        </c:dLbls>
        <c:gapWidth val="150"/>
        <c:axId val="137167616"/>
        <c:axId val="137169152"/>
      </c:barChart>
      <c:catAx>
        <c:axId val="137167616"/>
        <c:scaling>
          <c:orientation val="minMax"/>
        </c:scaling>
        <c:delete val="0"/>
        <c:axPos val="b"/>
        <c:numFmt formatCode="General" sourceLinked="1"/>
        <c:majorTickMark val="out"/>
        <c:minorTickMark val="none"/>
        <c:tickLblPos val="nextTo"/>
        <c:crossAx val="137169152"/>
        <c:crosses val="autoZero"/>
        <c:auto val="1"/>
        <c:lblAlgn val="ctr"/>
        <c:lblOffset val="100"/>
        <c:noMultiLvlLbl val="0"/>
      </c:catAx>
      <c:valAx>
        <c:axId val="137169152"/>
        <c:scaling>
          <c:orientation val="minMax"/>
        </c:scaling>
        <c:delete val="0"/>
        <c:axPos val="l"/>
        <c:majorGridlines/>
        <c:numFmt formatCode="0" sourceLinked="1"/>
        <c:majorTickMark val="out"/>
        <c:minorTickMark val="none"/>
        <c:tickLblPos val="nextTo"/>
        <c:crossAx val="137167616"/>
        <c:crosses val="autoZero"/>
        <c:crossBetween val="between"/>
      </c:valAx>
    </c:plotArea>
    <c:legend>
      <c:legendPos val="r"/>
      <c:legendEntry>
        <c:idx val="1"/>
        <c:txPr>
          <a:bodyPr/>
          <a:lstStyle/>
          <a:p>
            <a:pPr>
              <a:defRPr b="1" baseline="0">
                <a:solidFill>
                  <a:sysClr val="windowText" lastClr="000000"/>
                </a:solidFill>
              </a:defRPr>
            </a:pPr>
            <a:endParaRPr lang="ru-RU"/>
          </a:p>
        </c:txPr>
      </c:legendEntry>
      <c:layout/>
      <c:overlay val="0"/>
      <c:spPr>
        <a:ln>
          <a:solidFill>
            <a:schemeClr val="tx1"/>
          </a:solidFill>
        </a:ln>
      </c:spPr>
      <c:txPr>
        <a:bodyPr/>
        <a:lstStyle/>
        <a:p>
          <a:pPr>
            <a:defRPr baseline="0">
              <a:solidFill>
                <a:sysClr val="windowText" lastClr="00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856337191482093E-2"/>
          <c:y val="0.139291366548179"/>
          <c:w val="0.57880324516356163"/>
          <c:h val="0.7692542003173316"/>
        </c:manualLayout>
      </c:layout>
      <c:pie3DChart>
        <c:varyColors val="1"/>
        <c:ser>
          <c:idx val="0"/>
          <c:order val="0"/>
          <c:tx>
            <c:strRef>
              <c:f>Лист1!$B$1</c:f>
              <c:strCache>
                <c:ptCount val="1"/>
                <c:pt idx="0">
                  <c:v>Статьи затрат в %</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1"/>
            <c:showCatName val="0"/>
            <c:showSerName val="0"/>
            <c:showPercent val="0"/>
            <c:showBubbleSize val="0"/>
            <c:showLeaderLines val="1"/>
          </c:dLbls>
          <c:cat>
            <c:strRef>
              <c:f>Лист1!$A$2:$A$8</c:f>
              <c:strCache>
                <c:ptCount val="7"/>
                <c:pt idx="0">
                  <c:v>Расходы на оплату труда</c:v>
                </c:pt>
                <c:pt idx="1">
                  <c:v>Аренда</c:v>
                </c:pt>
                <c:pt idx="2">
                  <c:v>Капитальные вложения</c:v>
                </c:pt>
                <c:pt idx="3">
                  <c:v>Взносы в национальное объединение саморегулируемой организации</c:v>
                </c:pt>
                <c:pt idx="4">
                  <c:v>Расходы на служебные командировки</c:v>
                </c:pt>
                <c:pt idx="5">
                  <c:v>Расходы на приобретение материалов, оказания услуг и выполнение работ</c:v>
                </c:pt>
                <c:pt idx="6">
                  <c:v>Отчисления и налоги</c:v>
                </c:pt>
              </c:strCache>
            </c:strRef>
          </c:cat>
          <c:val>
            <c:numRef>
              <c:f>Лист1!$B$2:$B$8</c:f>
              <c:numCache>
                <c:formatCode>General</c:formatCode>
                <c:ptCount val="7"/>
                <c:pt idx="0">
                  <c:v>18.48</c:v>
                </c:pt>
                <c:pt idx="1">
                  <c:v>12.42</c:v>
                </c:pt>
                <c:pt idx="2">
                  <c:v>0.92</c:v>
                </c:pt>
                <c:pt idx="3">
                  <c:v>12.02</c:v>
                </c:pt>
                <c:pt idx="4">
                  <c:v>6.78</c:v>
                </c:pt>
                <c:pt idx="5">
                  <c:v>36.5</c:v>
                </c:pt>
                <c:pt idx="6">
                  <c:v>12.88</c:v>
                </c:pt>
              </c:numCache>
            </c:numRef>
          </c:val>
        </c:ser>
        <c:dLbls>
          <c:showLegendKey val="0"/>
          <c:showVal val="0"/>
          <c:showCatName val="0"/>
          <c:showSerName val="0"/>
          <c:showPercent val="0"/>
          <c:showBubbleSize val="0"/>
          <c:showLeaderLines val="1"/>
        </c:dLbls>
      </c:pie3DChart>
      <c:spPr>
        <a:noFill/>
        <a:ln w="25387">
          <a:noFill/>
        </a:ln>
      </c:spPr>
    </c:plotArea>
    <c:legend>
      <c:legendPos val="r"/>
      <c:layout>
        <c:manualLayout>
          <c:xMode val="edge"/>
          <c:yMode val="edge"/>
          <c:x val="0.65338071484519933"/>
          <c:y val="0.13025466703874181"/>
          <c:w val="0.33041546770004537"/>
          <c:h val="0.86974533296125811"/>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501" b="1" i="0" u="none" strike="noStrike" baseline="0">
              <a:solidFill>
                <a:srgbClr val="000000"/>
              </a:solidFill>
              <a:latin typeface="Calibri"/>
              <a:ea typeface="Calibri"/>
              <a:cs typeface="Calibri"/>
            </a:defRPr>
          </a:pPr>
          <a:endParaRPr lang="ru-RU"/>
        </a:p>
      </c:txPr>
    </c:title>
    <c:autoTitleDeleted val="0"/>
    <c:view3D>
      <c:rotX val="30"/>
      <c:rotY val="152"/>
      <c:rAngAx val="0"/>
      <c:perspective val="30"/>
    </c:view3D>
    <c:floor>
      <c:thickness val="0"/>
    </c:floor>
    <c:sideWall>
      <c:thickness val="0"/>
    </c:sideWall>
    <c:backWall>
      <c:thickness val="0"/>
    </c:backWall>
    <c:plotArea>
      <c:layout>
        <c:manualLayout>
          <c:layoutTarget val="inner"/>
          <c:xMode val="edge"/>
          <c:yMode val="edge"/>
          <c:x val="2.1956087824351298E-2"/>
          <c:y val="0.25783745781777284"/>
          <c:w val="0.58578339384223566"/>
          <c:h val="0.6985117485314335"/>
        </c:manualLayout>
      </c:layout>
      <c:pie3DChart>
        <c:varyColors val="1"/>
        <c:ser>
          <c:idx val="0"/>
          <c:order val="0"/>
          <c:tx>
            <c:strRef>
              <c:f>Лист1!$B$1</c:f>
              <c:strCache>
                <c:ptCount val="1"/>
                <c:pt idx="0">
                  <c:v>Протоколы заседаний коллегиальных органов</c:v>
                </c:pt>
              </c:strCache>
            </c:strRef>
          </c:tx>
          <c:explosion val="14"/>
          <c:dPt>
            <c:idx val="0"/>
            <c:bubble3D val="0"/>
          </c:dPt>
          <c:dPt>
            <c:idx val="1"/>
            <c:bubble3D val="0"/>
          </c:dPt>
          <c:dLbls>
            <c:dLbl>
              <c:idx val="0"/>
              <c:layout/>
              <c:tx>
                <c:rich>
                  <a:bodyPr/>
                  <a:lstStyle/>
                  <a:p>
                    <a:pPr>
                      <a:defRPr sz="2001" b="1" i="0" u="none" strike="noStrike" baseline="0">
                        <a:solidFill>
                          <a:srgbClr val="000000"/>
                        </a:solidFill>
                        <a:latin typeface="Calibri"/>
                        <a:ea typeface="Calibri"/>
                        <a:cs typeface="Calibri"/>
                      </a:defRPr>
                    </a:pPr>
                    <a:r>
                      <a:rPr lang="ru-RU" sz="2001"/>
                      <a:t> </a:t>
                    </a:r>
                    <a:r>
                      <a:rPr lang="ru-RU" sz="2001">
                        <a:solidFill>
                          <a:schemeClr val="bg1"/>
                        </a:solidFill>
                      </a:rPr>
                      <a:t>31</a:t>
                    </a:r>
                    <a:r>
                      <a:rPr lang="ru-RU" sz="2001"/>
                      <a:t> </a:t>
                    </a:r>
                  </a:p>
                </c:rich>
              </c:tx>
              <c:spPr/>
              <c:dLblPos val="bestFit"/>
              <c:showLegendKey val="0"/>
              <c:showVal val="0"/>
              <c:showCatName val="0"/>
              <c:showSerName val="0"/>
              <c:showPercent val="0"/>
              <c:showBubbleSize val="0"/>
            </c:dLbl>
            <c:dLbl>
              <c:idx val="1"/>
              <c:layout/>
              <c:tx>
                <c:rich>
                  <a:bodyPr/>
                  <a:lstStyle/>
                  <a:p>
                    <a:pPr>
                      <a:defRPr sz="1000" b="0" i="0" u="none" strike="noStrike" baseline="0">
                        <a:solidFill>
                          <a:srgbClr val="000000"/>
                        </a:solidFill>
                        <a:latin typeface="Calibri"/>
                        <a:ea typeface="Calibri"/>
                        <a:cs typeface="Calibri"/>
                      </a:defRPr>
                    </a:pPr>
                    <a:r>
                      <a:rPr lang="ru-RU" sz="2000">
                        <a:solidFill>
                          <a:schemeClr val="bg1"/>
                        </a:solidFill>
                      </a:rPr>
                      <a:t>7</a:t>
                    </a:r>
                    <a:endParaRPr lang="en-US" sz="2000">
                      <a:solidFill>
                        <a:schemeClr val="bg1"/>
                      </a:solidFill>
                    </a:endParaRPr>
                  </a:p>
                </c:rich>
              </c:tx>
              <c:spPr/>
              <c:dLblPos val="bestFit"/>
              <c:showLegendKey val="0"/>
              <c:showVal val="0"/>
              <c:showCatName val="0"/>
              <c:showSerName val="0"/>
              <c:showPercent val="0"/>
              <c:showBubbleSize val="0"/>
            </c:dLbl>
            <c:showLegendKey val="0"/>
            <c:showVal val="0"/>
            <c:showCatName val="0"/>
            <c:showSerName val="0"/>
            <c:showPercent val="0"/>
            <c:showBubbleSize val="0"/>
          </c:dLbls>
          <c:cat>
            <c:strRef>
              <c:f>Лист1!$A$2:$A$3</c:f>
              <c:strCache>
                <c:ptCount val="2"/>
                <c:pt idx="0">
                  <c:v>о приеме новых членов</c:v>
                </c:pt>
                <c:pt idx="1">
                  <c:v>по организационно-правовым вопросам</c:v>
                </c:pt>
              </c:strCache>
            </c:strRef>
          </c:cat>
          <c:val>
            <c:numRef>
              <c:f>Лист1!$B$2:$B$3</c:f>
              <c:numCache>
                <c:formatCode>General</c:formatCode>
                <c:ptCount val="2"/>
                <c:pt idx="0">
                  <c:v>31</c:v>
                </c:pt>
                <c:pt idx="1">
                  <c:v>7</c:v>
                </c:pt>
              </c:numCache>
            </c:numRef>
          </c:val>
        </c:ser>
        <c:dLbls>
          <c:showLegendKey val="0"/>
          <c:showVal val="0"/>
          <c:showCatName val="0"/>
          <c:showSerName val="0"/>
          <c:showPercent val="0"/>
          <c:showBubbleSize val="0"/>
          <c:showLeaderLines val="1"/>
        </c:dLbls>
      </c:pie3DChart>
      <c:spPr>
        <a:noFill/>
        <a:ln w="25417">
          <a:noFill/>
        </a:ln>
      </c:spPr>
    </c:plotArea>
    <c:legend>
      <c:legendPos val="r"/>
      <c:layout>
        <c:manualLayout>
          <c:xMode val="edge"/>
          <c:yMode val="edge"/>
          <c:x val="0.62769971197819341"/>
          <c:y val="0.13574984161462578"/>
          <c:w val="0.34435610356007729"/>
          <c:h val="0.86332247262195672"/>
        </c:manualLayout>
      </c:layout>
      <c:overlay val="0"/>
      <c:txPr>
        <a:bodyPr/>
        <a:lstStyle/>
        <a:p>
          <a:pPr>
            <a:defRPr sz="1194" b="0" i="0" u="none" strike="noStrike" baseline="0">
              <a:solidFill>
                <a:srgbClr val="000000"/>
              </a:solidFill>
              <a:latin typeface="Arial"/>
              <a:ea typeface="Arial"/>
              <a:cs typeface="Arial"/>
            </a:defRPr>
          </a:pPr>
          <a:endParaRPr lang="ru-RU"/>
        </a:p>
      </c:txPr>
    </c:legend>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C11E-1636-4FC3-9DAE-5CDD0C5A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БСК</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ZHURAVLEV_AA</dc:creator>
  <cp:keywords/>
  <dc:description/>
  <cp:lastModifiedBy>ZHURAVLEV_AA</cp:lastModifiedBy>
  <cp:revision>27</cp:revision>
  <cp:lastPrinted>2012-11-23T11:05:00Z</cp:lastPrinted>
  <dcterms:created xsi:type="dcterms:W3CDTF">2012-11-07T13:17:00Z</dcterms:created>
  <dcterms:modified xsi:type="dcterms:W3CDTF">2012-11-23T11:06:00Z</dcterms:modified>
</cp:coreProperties>
</file>